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47395210" w:rsidR="00EE61A9" w:rsidRPr="00490017" w:rsidRDefault="00F239B3" w:rsidP="00EE61A9">
      <w:pPr>
        <w:pStyle w:val="Chapter"/>
        <w:rPr>
          <w:rFonts w:cs="Arial"/>
        </w:rPr>
      </w:pPr>
      <w:bookmarkStart w:id="0" w:name="_Toc137031731"/>
      <w:bookmarkStart w:id="1" w:name="_Toc137031855"/>
      <w:r w:rsidRPr="00490017">
        <w:rPr>
          <w:rFonts w:cs="Arial"/>
        </w:rPr>
        <w:t>Activity 1: Using a SOP</w:t>
      </w:r>
    </w:p>
    <w:p w14:paraId="683E2CB2" w14:textId="77777777" w:rsidR="00F239B3" w:rsidRPr="00490017" w:rsidRDefault="00F239B3" w:rsidP="00F239B3">
      <w:pPr>
        <w:spacing w:after="0"/>
        <w:rPr>
          <w:rFonts w:cs="Arial"/>
        </w:rPr>
      </w:pPr>
    </w:p>
    <w:p w14:paraId="341CDAD6" w14:textId="77777777" w:rsidR="00C84E3D" w:rsidRDefault="00F239B3" w:rsidP="00C84E3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490017">
        <w:rPr>
          <w:rFonts w:cs="Arial"/>
          <w:b/>
          <w:sz w:val="32"/>
          <w:szCs w:val="24"/>
        </w:rPr>
        <w:t xml:space="preserve">Standard </w:t>
      </w:r>
      <w:r w:rsidR="0013057F" w:rsidRPr="00490017">
        <w:rPr>
          <w:rFonts w:cs="Arial"/>
          <w:b/>
          <w:sz w:val="32"/>
          <w:szCs w:val="24"/>
        </w:rPr>
        <w:t>o</w:t>
      </w:r>
      <w:r w:rsidRPr="00490017">
        <w:rPr>
          <w:rFonts w:cs="Arial"/>
          <w:b/>
          <w:sz w:val="32"/>
          <w:szCs w:val="24"/>
        </w:rPr>
        <w:t xml:space="preserve">perating </w:t>
      </w:r>
      <w:r w:rsidR="0013057F" w:rsidRPr="00490017">
        <w:rPr>
          <w:rFonts w:cs="Arial"/>
          <w:b/>
          <w:sz w:val="32"/>
          <w:szCs w:val="24"/>
        </w:rPr>
        <w:t>p</w:t>
      </w:r>
      <w:r w:rsidRPr="00490017">
        <w:rPr>
          <w:rFonts w:cs="Arial"/>
          <w:b/>
          <w:sz w:val="32"/>
          <w:szCs w:val="24"/>
        </w:rPr>
        <w:t xml:space="preserve">rocedure </w:t>
      </w:r>
      <w:r w:rsidR="0013057F" w:rsidRPr="00490017">
        <w:rPr>
          <w:rFonts w:cs="Arial"/>
          <w:b/>
          <w:sz w:val="32"/>
          <w:szCs w:val="24"/>
        </w:rPr>
        <w:t>f</w:t>
      </w:r>
      <w:r w:rsidRPr="00490017">
        <w:rPr>
          <w:rFonts w:cs="Arial"/>
          <w:b/>
          <w:sz w:val="32"/>
          <w:szCs w:val="24"/>
        </w:rPr>
        <w:t>or:</w:t>
      </w:r>
    </w:p>
    <w:p w14:paraId="79098816" w14:textId="5A922832" w:rsidR="00F239B3" w:rsidRPr="00490017" w:rsidRDefault="001C459A" w:rsidP="00C84E3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490017">
        <w:rPr>
          <w:rFonts w:cs="Arial"/>
          <w:b/>
          <w:sz w:val="32"/>
          <w:szCs w:val="24"/>
        </w:rPr>
        <w:t>Taking the temperature of a service user</w:t>
      </w:r>
    </w:p>
    <w:p w14:paraId="7DB6AAE6" w14:textId="77777777" w:rsidR="00F239B3" w:rsidRPr="00490017" w:rsidRDefault="00F239B3" w:rsidP="00F239B3">
      <w:pPr>
        <w:spacing w:after="0"/>
        <w:rPr>
          <w:rFonts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39B3" w:rsidRPr="00490017" w14:paraId="6E8687A2" w14:textId="77777777" w:rsidTr="00F239B3">
        <w:trPr>
          <w:trHeight w:val="481"/>
        </w:trPr>
        <w:tc>
          <w:tcPr>
            <w:tcW w:w="9351" w:type="dxa"/>
            <w:vAlign w:val="center"/>
          </w:tcPr>
          <w:p w14:paraId="63C743F2" w14:textId="77777777" w:rsidR="00F239B3" w:rsidRPr="00490017" w:rsidRDefault="00F239B3" w:rsidP="0016417A">
            <w:pPr>
              <w:rPr>
                <w:rFonts w:cs="Arial"/>
                <w:b/>
              </w:rPr>
            </w:pPr>
            <w:r w:rsidRPr="00490017">
              <w:rPr>
                <w:rFonts w:cs="Arial"/>
                <w:b/>
              </w:rPr>
              <w:t xml:space="preserve">Purpose: </w:t>
            </w:r>
          </w:p>
        </w:tc>
      </w:tr>
      <w:tr w:rsidR="00F239B3" w:rsidRPr="00490017" w14:paraId="4FE7F201" w14:textId="77777777" w:rsidTr="00DB09A7">
        <w:trPr>
          <w:trHeight w:val="416"/>
        </w:trPr>
        <w:tc>
          <w:tcPr>
            <w:tcW w:w="9351" w:type="dxa"/>
            <w:vAlign w:val="center"/>
          </w:tcPr>
          <w:p w14:paraId="3A0E4132" w14:textId="5771AB90" w:rsidR="00F239B3" w:rsidRPr="00490017" w:rsidRDefault="00F239B3" w:rsidP="0016417A">
            <w:pPr>
              <w:rPr>
                <w:rFonts w:cs="Arial"/>
              </w:rPr>
            </w:pPr>
            <w:r w:rsidRPr="00490017">
              <w:rPr>
                <w:rFonts w:cs="Arial"/>
              </w:rPr>
              <w:t xml:space="preserve">To </w:t>
            </w:r>
            <w:r w:rsidR="00244D84" w:rsidRPr="00490017">
              <w:rPr>
                <w:rFonts w:cs="Arial"/>
              </w:rPr>
              <w:t>accurately take the temperature of a service use</w:t>
            </w:r>
            <w:r w:rsidR="000445A2" w:rsidRPr="00490017">
              <w:rPr>
                <w:rFonts w:cs="Arial"/>
              </w:rPr>
              <w:t>r</w:t>
            </w:r>
            <w:r w:rsidR="00DB09A7" w:rsidRPr="00490017">
              <w:rPr>
                <w:rFonts w:cs="Arial"/>
              </w:rPr>
              <w:t>.</w:t>
            </w:r>
          </w:p>
        </w:tc>
      </w:tr>
      <w:tr w:rsidR="00F239B3" w:rsidRPr="00490017" w14:paraId="68941C08" w14:textId="77777777" w:rsidTr="00F239B3">
        <w:trPr>
          <w:trHeight w:val="497"/>
        </w:trPr>
        <w:tc>
          <w:tcPr>
            <w:tcW w:w="9351" w:type="dxa"/>
            <w:vAlign w:val="center"/>
          </w:tcPr>
          <w:p w14:paraId="103BFE36" w14:textId="77777777" w:rsidR="00F239B3" w:rsidRPr="00490017" w:rsidRDefault="00F239B3" w:rsidP="0016417A">
            <w:pPr>
              <w:rPr>
                <w:rFonts w:cs="Arial"/>
                <w:i/>
                <w:sz w:val="18"/>
                <w:szCs w:val="18"/>
              </w:rPr>
            </w:pPr>
            <w:r w:rsidRPr="00490017">
              <w:rPr>
                <w:rFonts w:cs="Arial"/>
                <w:b/>
              </w:rPr>
              <w:t>Scope:</w:t>
            </w:r>
          </w:p>
        </w:tc>
      </w:tr>
      <w:tr w:rsidR="00F239B3" w:rsidRPr="00490017" w14:paraId="5FC514C1" w14:textId="77777777" w:rsidTr="00F239B3">
        <w:trPr>
          <w:trHeight w:val="684"/>
        </w:trPr>
        <w:tc>
          <w:tcPr>
            <w:tcW w:w="9351" w:type="dxa"/>
            <w:vAlign w:val="center"/>
          </w:tcPr>
          <w:p w14:paraId="15044483" w14:textId="4B2EA4B6" w:rsidR="001C459A" w:rsidRPr="00490017" w:rsidRDefault="00F239B3" w:rsidP="0016417A">
            <w:pPr>
              <w:rPr>
                <w:rFonts w:cs="Arial"/>
              </w:rPr>
            </w:pPr>
            <w:r w:rsidRPr="00490017">
              <w:rPr>
                <w:rFonts w:cs="Arial"/>
              </w:rPr>
              <w:t xml:space="preserve">To be used by </w:t>
            </w:r>
            <w:r w:rsidR="00244D84" w:rsidRPr="00490017">
              <w:rPr>
                <w:rFonts w:cs="Arial"/>
              </w:rPr>
              <w:t xml:space="preserve">healthcare professionals </w:t>
            </w:r>
            <w:r w:rsidR="000445A2" w:rsidRPr="00490017">
              <w:rPr>
                <w:rFonts w:cs="Arial"/>
              </w:rPr>
              <w:t>when the body temperature of a service user is to be accurately determined</w:t>
            </w:r>
            <w:r w:rsidR="00DB09A7" w:rsidRPr="00490017">
              <w:rPr>
                <w:rFonts w:cs="Arial"/>
              </w:rPr>
              <w:t>.</w:t>
            </w:r>
          </w:p>
        </w:tc>
      </w:tr>
      <w:tr w:rsidR="00F239B3" w:rsidRPr="00490017" w14:paraId="4AD1BF2A" w14:textId="77777777" w:rsidTr="00F239B3">
        <w:trPr>
          <w:trHeight w:val="557"/>
        </w:trPr>
        <w:tc>
          <w:tcPr>
            <w:tcW w:w="9351" w:type="dxa"/>
            <w:vAlign w:val="center"/>
          </w:tcPr>
          <w:p w14:paraId="26BA0EAD" w14:textId="77777777" w:rsidR="00F239B3" w:rsidRPr="00490017" w:rsidRDefault="00F239B3" w:rsidP="0016417A">
            <w:pPr>
              <w:rPr>
                <w:rFonts w:cs="Arial"/>
                <w:b/>
              </w:rPr>
            </w:pPr>
            <w:r w:rsidRPr="00490017">
              <w:rPr>
                <w:rFonts w:cs="Arial"/>
                <w:b/>
              </w:rPr>
              <w:t xml:space="preserve">Responsibilities: </w:t>
            </w:r>
          </w:p>
        </w:tc>
      </w:tr>
      <w:tr w:rsidR="00F239B3" w:rsidRPr="00490017" w14:paraId="6379CA23" w14:textId="77777777" w:rsidTr="00DB09A7">
        <w:trPr>
          <w:trHeight w:val="1057"/>
        </w:trPr>
        <w:tc>
          <w:tcPr>
            <w:tcW w:w="9351" w:type="dxa"/>
            <w:vAlign w:val="center"/>
          </w:tcPr>
          <w:p w14:paraId="37A22C07" w14:textId="64034F01" w:rsidR="00F239B3" w:rsidRPr="00490017" w:rsidRDefault="000445A2" w:rsidP="00D279E0">
            <w:pPr>
              <w:rPr>
                <w:rFonts w:cs="Arial"/>
              </w:rPr>
            </w:pPr>
            <w:r w:rsidRPr="00490017">
              <w:rPr>
                <w:rFonts w:cs="Arial"/>
              </w:rPr>
              <w:t>All aspects of this SOP are to be undertaken by the healthcare professional responsible for taking the service user’s temperature</w:t>
            </w:r>
            <w:r w:rsidR="00DB09A7" w:rsidRPr="00490017">
              <w:rPr>
                <w:rFonts w:cs="Arial"/>
              </w:rPr>
              <w:t>.</w:t>
            </w:r>
          </w:p>
          <w:p w14:paraId="6B9F9090" w14:textId="6DFAD79D" w:rsidR="008C35E2" w:rsidRPr="00490017" w:rsidRDefault="008C35E2" w:rsidP="00D279E0">
            <w:pPr>
              <w:rPr>
                <w:rFonts w:cs="Arial"/>
              </w:rPr>
            </w:pPr>
            <w:r w:rsidRPr="00490017">
              <w:rPr>
                <w:rFonts w:cs="Arial"/>
              </w:rPr>
              <w:t>Other healthcare professionals may be responsible for interpreting a temperature reading</w:t>
            </w:r>
            <w:r w:rsidR="00DB09A7" w:rsidRPr="00490017">
              <w:rPr>
                <w:rFonts w:cs="Arial"/>
              </w:rPr>
              <w:t>.</w:t>
            </w:r>
          </w:p>
        </w:tc>
      </w:tr>
      <w:tr w:rsidR="00F239B3" w:rsidRPr="00490017" w14:paraId="5FEBB2DF" w14:textId="77777777" w:rsidTr="00F239B3">
        <w:trPr>
          <w:trHeight w:val="420"/>
        </w:trPr>
        <w:tc>
          <w:tcPr>
            <w:tcW w:w="9351" w:type="dxa"/>
            <w:vAlign w:val="center"/>
          </w:tcPr>
          <w:p w14:paraId="524C9B39" w14:textId="77777777" w:rsidR="00F239B3" w:rsidRPr="00490017" w:rsidRDefault="00F239B3" w:rsidP="0016417A">
            <w:pPr>
              <w:rPr>
                <w:rFonts w:cs="Arial"/>
                <w:i/>
              </w:rPr>
            </w:pPr>
            <w:r w:rsidRPr="00490017">
              <w:rPr>
                <w:rFonts w:cs="Arial"/>
                <w:b/>
              </w:rPr>
              <w:t xml:space="preserve">Safety notes: </w:t>
            </w:r>
          </w:p>
        </w:tc>
      </w:tr>
      <w:tr w:rsidR="00F239B3" w:rsidRPr="00490017" w14:paraId="48C24B82" w14:textId="77777777" w:rsidTr="00F239B3">
        <w:trPr>
          <w:trHeight w:val="420"/>
        </w:trPr>
        <w:tc>
          <w:tcPr>
            <w:tcW w:w="9351" w:type="dxa"/>
            <w:vAlign w:val="center"/>
          </w:tcPr>
          <w:p w14:paraId="7A6D28C7" w14:textId="1A62FBD2" w:rsidR="00F239B3" w:rsidRPr="00490017" w:rsidRDefault="00244D84" w:rsidP="00D776F7">
            <w:pPr>
              <w:rPr>
                <w:rFonts w:cs="Arial"/>
              </w:rPr>
            </w:pPr>
            <w:r w:rsidRPr="00490017">
              <w:rPr>
                <w:rFonts w:cs="Arial"/>
              </w:rPr>
              <w:t>Appropriate PPE must be worn</w:t>
            </w:r>
          </w:p>
        </w:tc>
      </w:tr>
    </w:tbl>
    <w:p w14:paraId="7EA5A033" w14:textId="77777777" w:rsidR="00C84E3D" w:rsidRDefault="00C84E3D">
      <w:pPr>
        <w:tabs>
          <w:tab w:val="left" w:pos="1594"/>
        </w:tabs>
        <w:rPr>
          <w:rFonts w:cs="Arial"/>
        </w:rPr>
      </w:pPr>
    </w:p>
    <w:p w14:paraId="5ED56F36" w14:textId="06246460" w:rsidR="00297B50" w:rsidRPr="00490017" w:rsidRDefault="00C84E3D" w:rsidP="00C84E3D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pPr w:leftFromText="180" w:rightFromText="180" w:vertAnchor="text" w:horzAnchor="margin" w:tblpY="9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239B3" w:rsidRPr="00490017" w14:paraId="7E00F96A" w14:textId="77777777" w:rsidTr="00F239B3">
        <w:trPr>
          <w:trHeight w:val="411"/>
        </w:trPr>
        <w:tc>
          <w:tcPr>
            <w:tcW w:w="9351" w:type="dxa"/>
            <w:gridSpan w:val="2"/>
            <w:vAlign w:val="center"/>
          </w:tcPr>
          <w:p w14:paraId="4BFE8354" w14:textId="77777777" w:rsidR="00F239B3" w:rsidRPr="00490017" w:rsidRDefault="00F239B3" w:rsidP="00F239B3">
            <w:pPr>
              <w:rPr>
                <w:rFonts w:cs="Arial"/>
                <w:b/>
              </w:rPr>
            </w:pPr>
            <w:r w:rsidRPr="00490017">
              <w:rPr>
                <w:rFonts w:cs="Arial"/>
                <w:b/>
              </w:rPr>
              <w:lastRenderedPageBreak/>
              <w:t xml:space="preserve">Equipment: </w:t>
            </w:r>
          </w:p>
        </w:tc>
      </w:tr>
      <w:tr w:rsidR="00F239B3" w:rsidRPr="00490017" w14:paraId="3867392D" w14:textId="77777777" w:rsidTr="00F239B3">
        <w:trPr>
          <w:trHeight w:val="1407"/>
        </w:trPr>
        <w:tc>
          <w:tcPr>
            <w:tcW w:w="4675" w:type="dxa"/>
            <w:vAlign w:val="center"/>
          </w:tcPr>
          <w:p w14:paraId="06CF1687" w14:textId="63E4B3DC" w:rsidR="00244D84" w:rsidRPr="00490017" w:rsidRDefault="00785F30" w:rsidP="0013057F">
            <w:pPr>
              <w:widowControl w:val="0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Tympanic</w:t>
            </w:r>
            <w:r w:rsidR="00244D84" w:rsidRPr="00490017">
              <w:rPr>
                <w:rFonts w:cs="Arial"/>
              </w:rPr>
              <w:t xml:space="preserve"> thermometer</w:t>
            </w:r>
          </w:p>
          <w:p w14:paraId="088032AB" w14:textId="0AAABBA4" w:rsidR="00F239B3" w:rsidRPr="00490017" w:rsidRDefault="00244D84" w:rsidP="0013057F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Surgical gloves</w:t>
            </w:r>
          </w:p>
          <w:p w14:paraId="5282ED77" w14:textId="77777777" w:rsidR="00F239B3" w:rsidRPr="00490017" w:rsidRDefault="00244D84" w:rsidP="0013057F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Surgical masks</w:t>
            </w:r>
          </w:p>
          <w:p w14:paraId="7C5E005D" w14:textId="23968DE8" w:rsidR="00A95D3A" w:rsidRPr="00490017" w:rsidRDefault="003B61CC" w:rsidP="00D776F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357" w:hanging="357"/>
              <w:rPr>
                <w:rFonts w:cs="Arial"/>
              </w:rPr>
            </w:pPr>
            <w:r w:rsidRPr="00490017">
              <w:rPr>
                <w:rFonts w:cs="Arial"/>
              </w:rPr>
              <w:t xml:space="preserve">Isopropyl (rubbing) alcohol </w:t>
            </w:r>
            <w:r w:rsidR="00D742D0" w:rsidRPr="00490017">
              <w:rPr>
                <w:rFonts w:cs="Arial"/>
              </w:rPr>
              <w:t>/ soap</w:t>
            </w:r>
          </w:p>
        </w:tc>
        <w:tc>
          <w:tcPr>
            <w:tcW w:w="4676" w:type="dxa"/>
            <w:vAlign w:val="center"/>
          </w:tcPr>
          <w:p w14:paraId="719E7221" w14:textId="1C7837E9" w:rsidR="00D742D0" w:rsidRPr="00490017" w:rsidRDefault="00D742D0" w:rsidP="00244D84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 xml:space="preserve">Probe </w:t>
            </w:r>
            <w:r w:rsidR="003B61CC" w:rsidRPr="00490017">
              <w:rPr>
                <w:rFonts w:cs="Arial"/>
              </w:rPr>
              <w:t>cover</w:t>
            </w:r>
          </w:p>
          <w:p w14:paraId="36B313F3" w14:textId="4B05A003" w:rsidR="00F850AC" w:rsidRPr="00490017" w:rsidRDefault="00F850AC" w:rsidP="00244D84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Apron</w:t>
            </w:r>
          </w:p>
          <w:p w14:paraId="1F0C5168" w14:textId="77777777" w:rsidR="00345330" w:rsidRDefault="00F850AC" w:rsidP="00C84E3D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Eye protection</w:t>
            </w:r>
          </w:p>
          <w:p w14:paraId="391A1367" w14:textId="2667659A" w:rsidR="00C84E3D" w:rsidRPr="00C84E3D" w:rsidRDefault="00C84E3D" w:rsidP="00C84E3D">
            <w:pPr>
              <w:rPr>
                <w:rFonts w:cs="Arial"/>
              </w:rPr>
            </w:pPr>
          </w:p>
        </w:tc>
      </w:tr>
      <w:tr w:rsidR="00F239B3" w:rsidRPr="00490017" w14:paraId="5B7363AF" w14:textId="77777777" w:rsidTr="00F239B3">
        <w:trPr>
          <w:trHeight w:val="443"/>
        </w:trPr>
        <w:tc>
          <w:tcPr>
            <w:tcW w:w="9351" w:type="dxa"/>
            <w:gridSpan w:val="2"/>
            <w:vAlign w:val="center"/>
          </w:tcPr>
          <w:p w14:paraId="6B093642" w14:textId="77777777" w:rsidR="00F239B3" w:rsidRPr="00490017" w:rsidRDefault="00F239B3" w:rsidP="00F239B3">
            <w:pPr>
              <w:rPr>
                <w:rFonts w:cs="Arial"/>
                <w:b/>
              </w:rPr>
            </w:pPr>
            <w:r w:rsidRPr="00490017">
              <w:rPr>
                <w:rFonts w:cs="Arial"/>
                <w:b/>
              </w:rPr>
              <w:t xml:space="preserve">Procedure: </w:t>
            </w:r>
          </w:p>
        </w:tc>
      </w:tr>
      <w:tr w:rsidR="00F239B3" w:rsidRPr="00490017" w14:paraId="109FA174" w14:textId="77777777" w:rsidTr="00F239B3">
        <w:trPr>
          <w:trHeight w:val="1980"/>
        </w:trPr>
        <w:tc>
          <w:tcPr>
            <w:tcW w:w="9351" w:type="dxa"/>
            <w:gridSpan w:val="2"/>
            <w:vAlign w:val="center"/>
          </w:tcPr>
          <w:p w14:paraId="79EDAD96" w14:textId="77777777" w:rsidR="00753919" w:rsidRPr="00490017" w:rsidRDefault="00753919" w:rsidP="00BD368A">
            <w:pPr>
              <w:rPr>
                <w:rFonts w:cs="Arial"/>
              </w:rPr>
            </w:pPr>
          </w:p>
          <w:p w14:paraId="77CADE6B" w14:textId="1CBA45B4" w:rsidR="00244D84" w:rsidRPr="00490017" w:rsidRDefault="007567BE" w:rsidP="00D2209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740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W</w:t>
            </w:r>
            <w:r w:rsidR="00244D84" w:rsidRPr="00490017">
              <w:rPr>
                <w:rFonts w:cs="Arial"/>
                <w:color w:val="000000"/>
              </w:rPr>
              <w:t>ash hands according to the NHS handwashing procedure</w:t>
            </w:r>
            <w:r w:rsidR="00A81A24" w:rsidRPr="00490017">
              <w:rPr>
                <w:rFonts w:cs="Arial"/>
                <w:color w:val="000000"/>
              </w:rPr>
              <w:t>.</w:t>
            </w:r>
          </w:p>
          <w:p w14:paraId="29046094" w14:textId="692F8665" w:rsidR="00F850AC" w:rsidRPr="00490017" w:rsidRDefault="00F850AC" w:rsidP="00D2209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 w:line="276" w:lineRule="auto"/>
              <w:ind w:left="740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Put on </w:t>
            </w:r>
            <w:r w:rsidR="0013057F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an 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apron and tie at </w:t>
            </w:r>
            <w:r w:rsidR="0013057F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the 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waist</w:t>
            </w:r>
            <w:r w:rsidR="00A81A24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1792FC21" w14:textId="6FC66D71" w:rsidR="00F850AC" w:rsidRPr="00490017" w:rsidRDefault="00F850AC" w:rsidP="00D2209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740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Put on a surgical mask – fit mask around nose, cover mouth and chin</w:t>
            </w:r>
            <w:r w:rsidR="00366EAD" w:rsidRPr="00490017">
              <w:rPr>
                <w:rFonts w:cs="Arial"/>
                <w:color w:val="000000"/>
              </w:rPr>
              <w:t xml:space="preserve"> (required if bodily fluids are involved)</w:t>
            </w:r>
            <w:r w:rsidR="00A81A24" w:rsidRPr="00490017">
              <w:rPr>
                <w:rFonts w:cs="Arial"/>
                <w:color w:val="000000"/>
              </w:rPr>
              <w:t>.</w:t>
            </w:r>
          </w:p>
          <w:p w14:paraId="6C2D2BCF" w14:textId="718AD797" w:rsidR="00F850AC" w:rsidRPr="00490017" w:rsidRDefault="00F850AC" w:rsidP="00D2209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740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Put on eye protection</w:t>
            </w:r>
            <w:r w:rsidR="00A81A24" w:rsidRPr="00490017">
              <w:rPr>
                <w:rFonts w:cs="Arial"/>
                <w:color w:val="000000"/>
              </w:rPr>
              <w:t>.</w:t>
            </w:r>
          </w:p>
          <w:p w14:paraId="30BA5481" w14:textId="767DA37A" w:rsidR="00244D84" w:rsidRPr="00490017" w:rsidRDefault="00244D84" w:rsidP="00D2209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740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Put on a pair of surgical gloves</w:t>
            </w:r>
            <w:r w:rsidR="00A81A24" w:rsidRPr="00490017">
              <w:rPr>
                <w:rFonts w:cs="Arial"/>
                <w:color w:val="000000"/>
              </w:rPr>
              <w:t>.</w:t>
            </w:r>
          </w:p>
          <w:p w14:paraId="214B155B" w14:textId="77777777" w:rsidR="00753919" w:rsidRPr="00490017" w:rsidRDefault="00753919" w:rsidP="00753919">
            <w:pPr>
              <w:ind w:left="720"/>
              <w:rPr>
                <w:rFonts w:cs="Arial"/>
                <w:color w:val="000000"/>
              </w:rPr>
            </w:pPr>
          </w:p>
          <w:p w14:paraId="1CA59505" w14:textId="0A58241B" w:rsidR="00753919" w:rsidRPr="00490017" w:rsidRDefault="00753919" w:rsidP="00F850AC">
            <w:pPr>
              <w:rPr>
                <w:rFonts w:cs="Arial"/>
                <w:b/>
                <w:bCs/>
                <w:color w:val="000000"/>
              </w:rPr>
            </w:pPr>
            <w:r w:rsidRPr="00490017">
              <w:rPr>
                <w:rFonts w:cs="Arial"/>
                <w:b/>
                <w:bCs/>
                <w:color w:val="000000"/>
              </w:rPr>
              <w:t>Preparing the equipment:</w:t>
            </w:r>
          </w:p>
          <w:p w14:paraId="1AC764AA" w14:textId="6D4C0B4C" w:rsidR="003B61CC" w:rsidRPr="00490017" w:rsidRDefault="003B61CC" w:rsidP="005C16D2">
            <w:pPr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222222"/>
                <w:spacing w:val="-2"/>
                <w:shd w:val="clear" w:color="auto" w:fill="FFFFFF"/>
              </w:rPr>
              <w:t>Remove the tympanic thermometer from the casing.</w:t>
            </w:r>
            <w:r w:rsidR="00BC744D" w:rsidRPr="00490017">
              <w:rPr>
                <w:rFonts w:cs="Arial"/>
                <w:color w:val="222222"/>
                <w:spacing w:val="-2"/>
                <w:shd w:val="clear" w:color="auto" w:fill="FFFFFF"/>
              </w:rPr>
              <w:t xml:space="preserve"> (The thermometer should be stored at room temperature.)</w:t>
            </w:r>
          </w:p>
          <w:p w14:paraId="21A0BCC0" w14:textId="4F391BA7" w:rsidR="00BC744D" w:rsidRPr="00490017" w:rsidRDefault="003B61CC" w:rsidP="00BC744D">
            <w:pPr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222222"/>
                <w:spacing w:val="-2"/>
                <w:shd w:val="clear" w:color="auto" w:fill="FFFFFF"/>
              </w:rPr>
              <w:t xml:space="preserve">Place a probe cover on the thermometer tip </w:t>
            </w:r>
            <w:r w:rsidR="00BC744D" w:rsidRPr="00490017">
              <w:rPr>
                <w:rFonts w:cs="Arial"/>
                <w:color w:val="222222"/>
                <w:spacing w:val="-2"/>
                <w:shd w:val="clear" w:color="auto" w:fill="FFFFFF"/>
              </w:rPr>
              <w:t>by lining up the probe tip and cover, and pushing the tip into the cover until you hear a click. (For most models this should be possible without touching the probe with your hands.)</w:t>
            </w:r>
          </w:p>
          <w:p w14:paraId="6B7585CE" w14:textId="0F7FA05C" w:rsidR="003B61CC" w:rsidRPr="00490017" w:rsidRDefault="00BC744D" w:rsidP="002F240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 xml:space="preserve">Inspect the membrane on the end of the probe. If a hole or tear is visible, discard and replace with a new cover. </w:t>
            </w:r>
          </w:p>
          <w:p w14:paraId="74804EE7" w14:textId="77777777" w:rsidR="00753919" w:rsidRPr="00490017" w:rsidRDefault="00753919" w:rsidP="002F2407">
            <w:pPr>
              <w:spacing w:line="276" w:lineRule="auto"/>
              <w:ind w:left="720"/>
              <w:rPr>
                <w:rFonts w:cs="Arial"/>
                <w:color w:val="222222"/>
                <w:spacing w:val="-2"/>
                <w:shd w:val="clear" w:color="auto" w:fill="FFFFFF"/>
              </w:rPr>
            </w:pPr>
          </w:p>
          <w:p w14:paraId="438E890A" w14:textId="63570BF2" w:rsidR="00F850AC" w:rsidRPr="00490017" w:rsidRDefault="00F850AC" w:rsidP="00753919">
            <w:pPr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</w:pPr>
            <w:r w:rsidRPr="00490017"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  <w:t>Taking the service user</w:t>
            </w:r>
            <w:r w:rsidR="008C35E2" w:rsidRPr="00490017"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  <w:t>’</w:t>
            </w:r>
            <w:r w:rsidRPr="00490017"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  <w:t>s temperature:</w:t>
            </w:r>
          </w:p>
          <w:p w14:paraId="272D36B8" w14:textId="61CEB879" w:rsidR="00F850AC" w:rsidRPr="00490017" w:rsidRDefault="00F850AC" w:rsidP="00F850AC">
            <w:pPr>
              <w:rPr>
                <w:rFonts w:cs="Arial"/>
              </w:rPr>
            </w:pPr>
            <w:r w:rsidRPr="00490017">
              <w:rPr>
                <w:rFonts w:cs="Arial"/>
              </w:rPr>
              <w:t>Before carrying out this procedure</w:t>
            </w:r>
            <w:r w:rsidR="0013057F" w:rsidRPr="00490017">
              <w:rPr>
                <w:rFonts w:cs="Arial"/>
              </w:rPr>
              <w:t>,</w:t>
            </w:r>
            <w:r w:rsidRPr="00490017">
              <w:rPr>
                <w:rFonts w:cs="Arial"/>
              </w:rPr>
              <w:t xml:space="preserve"> ensure tha</w:t>
            </w:r>
            <w:r w:rsidR="0013057F" w:rsidRPr="00490017">
              <w:rPr>
                <w:rFonts w:cs="Arial"/>
              </w:rPr>
              <w:t>t</w:t>
            </w:r>
            <w:r w:rsidRPr="00490017">
              <w:rPr>
                <w:rFonts w:cs="Arial"/>
              </w:rPr>
              <w:t xml:space="preserve"> the service user has </w:t>
            </w:r>
            <w:r w:rsidR="00D742D0" w:rsidRPr="00490017">
              <w:rPr>
                <w:rFonts w:cs="Arial"/>
              </w:rPr>
              <w:t xml:space="preserve">provided </w:t>
            </w:r>
            <w:r w:rsidRPr="00490017">
              <w:rPr>
                <w:rFonts w:cs="Arial"/>
              </w:rPr>
              <w:t>their consent to having their temperature taken.</w:t>
            </w:r>
          </w:p>
          <w:p w14:paraId="6F257207" w14:textId="77777777" w:rsidR="00753919" w:rsidRPr="00490017" w:rsidRDefault="00753919" w:rsidP="00753919">
            <w:pPr>
              <w:rPr>
                <w:rFonts w:cs="Arial"/>
                <w:color w:val="000000"/>
              </w:rPr>
            </w:pPr>
          </w:p>
          <w:p w14:paraId="0106CFC2" w14:textId="1E1C7086" w:rsidR="00D742D0" w:rsidRPr="00490017" w:rsidRDefault="00D742D0" w:rsidP="002F240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Pull the top of the earlobe up and back.</w:t>
            </w:r>
          </w:p>
          <w:p w14:paraId="5EA18CD1" w14:textId="7B181922" w:rsidR="00D742D0" w:rsidRPr="00490017" w:rsidRDefault="00D742D0" w:rsidP="002F2407">
            <w:pPr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 xml:space="preserve">Gently insert the tip of the thermometer into the ear canal toward the eardrum. The sensor should be pointing down the ear canal and not at the wall of the </w:t>
            </w:r>
            <w:r w:rsidRPr="00490017">
              <w:rPr>
                <w:rFonts w:cs="Arial"/>
                <w:color w:val="auto"/>
              </w:rPr>
              <w:t>ear.</w:t>
            </w:r>
            <w:r w:rsidR="003B61CC" w:rsidRPr="00490017">
              <w:rPr>
                <w:rFonts w:cs="Arial"/>
                <w:color w:val="auto"/>
              </w:rPr>
              <w:t xml:space="preserve"> (</w:t>
            </w:r>
            <w:r w:rsidR="003B61CC" w:rsidRPr="00490017">
              <w:rPr>
                <w:rFonts w:cs="Arial"/>
                <w:color w:val="auto"/>
                <w:shd w:val="clear" w:color="auto" w:fill="FFFFFF"/>
              </w:rPr>
              <w:t>To prevent air temperature from affecting the reading, ensure the probe penetrates </w:t>
            </w:r>
            <w:r w:rsidR="003B61CC" w:rsidRPr="00490017">
              <w:rPr>
                <w:rFonts w:cs="Arial"/>
                <w:color w:val="auto"/>
              </w:rPr>
              <w:t>at least one-third of the external ear canal</w:t>
            </w:r>
            <w:r w:rsidR="003B61CC" w:rsidRPr="00490017">
              <w:rPr>
                <w:rFonts w:cs="Arial"/>
                <w:color w:val="auto"/>
                <w:shd w:val="clear" w:color="auto" w:fill="FFFFFF"/>
              </w:rPr>
              <w:t> and forms a complete seal.)</w:t>
            </w:r>
          </w:p>
          <w:p w14:paraId="2F295422" w14:textId="16D0ADA0" w:rsidR="00244D84" w:rsidRPr="00490017" w:rsidRDefault="00244D84" w:rsidP="002F2407">
            <w:pPr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Turn on thermometer.</w:t>
            </w:r>
          </w:p>
          <w:p w14:paraId="4DDA0B8E" w14:textId="38AE8172" w:rsidR="00244D84" w:rsidRPr="00490017" w:rsidRDefault="00244D84" w:rsidP="002F2407">
            <w:pPr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>Remove thermometer once it beeps.</w:t>
            </w:r>
            <w:r w:rsidR="00F850AC" w:rsidRPr="00490017">
              <w:rPr>
                <w:rFonts w:cs="Arial"/>
                <w:color w:val="000000"/>
              </w:rPr>
              <w:t xml:space="preserve"> (The t</w:t>
            </w:r>
            <w:r w:rsidR="008C35E2" w:rsidRPr="00490017">
              <w:rPr>
                <w:rFonts w:cs="Arial"/>
                <w:color w:val="000000"/>
              </w:rPr>
              <w:t>i</w:t>
            </w:r>
            <w:r w:rsidR="00F850AC" w:rsidRPr="00490017">
              <w:rPr>
                <w:rFonts w:cs="Arial"/>
                <w:color w:val="000000"/>
              </w:rPr>
              <w:t xml:space="preserve">me taken depends on </w:t>
            </w:r>
            <w:r w:rsidR="00BC744D" w:rsidRPr="00490017">
              <w:rPr>
                <w:rFonts w:cs="Arial"/>
                <w:color w:val="000000"/>
              </w:rPr>
              <w:t xml:space="preserve">the </w:t>
            </w:r>
            <w:r w:rsidR="00F850AC" w:rsidRPr="00490017">
              <w:rPr>
                <w:rFonts w:cs="Arial"/>
                <w:color w:val="000000"/>
              </w:rPr>
              <w:t>specific thermometer used</w:t>
            </w:r>
            <w:r w:rsidR="00BC744D" w:rsidRPr="00490017">
              <w:rPr>
                <w:rFonts w:cs="Arial"/>
                <w:color w:val="000000"/>
              </w:rPr>
              <w:t xml:space="preserve"> but is normally only a few seconds.</w:t>
            </w:r>
            <w:r w:rsidR="00F850AC" w:rsidRPr="00490017">
              <w:rPr>
                <w:rFonts w:cs="Arial"/>
                <w:color w:val="000000"/>
              </w:rPr>
              <w:t>).</w:t>
            </w:r>
          </w:p>
          <w:p w14:paraId="53FC4D0C" w14:textId="70094728" w:rsidR="00F850AC" w:rsidRPr="00490017" w:rsidRDefault="008C35E2" w:rsidP="002F240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</w:rPr>
            </w:pPr>
            <w:r w:rsidRPr="00490017">
              <w:rPr>
                <w:rFonts w:cs="Arial"/>
                <w:color w:val="000000"/>
              </w:rPr>
              <w:t xml:space="preserve">Note </w:t>
            </w:r>
            <w:r w:rsidR="00244D84" w:rsidRPr="00490017">
              <w:rPr>
                <w:rFonts w:cs="Arial"/>
                <w:color w:val="000000"/>
              </w:rPr>
              <w:t>the temperature measurement</w:t>
            </w:r>
            <w:r w:rsidR="000E629C" w:rsidRPr="00490017">
              <w:rPr>
                <w:rFonts w:cs="Arial"/>
                <w:color w:val="000000"/>
              </w:rPr>
              <w:t>.</w:t>
            </w:r>
          </w:p>
          <w:p w14:paraId="722A76FE" w14:textId="5287E6D4" w:rsidR="007B6924" w:rsidRPr="00490017" w:rsidRDefault="00753919" w:rsidP="00D776F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</w:rPr>
            </w:pPr>
            <w:r w:rsidRPr="00490017">
              <w:rPr>
                <w:rFonts w:cs="Arial"/>
              </w:rPr>
              <w:t>Check the temperature against the normal range for a</w:t>
            </w:r>
            <w:r w:rsidR="00BC744D" w:rsidRPr="00490017">
              <w:rPr>
                <w:rFonts w:cs="Arial"/>
              </w:rPr>
              <w:t xml:space="preserve"> tympanic </w:t>
            </w:r>
            <w:r w:rsidRPr="00490017">
              <w:rPr>
                <w:rFonts w:cs="Arial"/>
              </w:rPr>
              <w:t>thermometer</w:t>
            </w:r>
            <w:r w:rsidR="000E629C" w:rsidRPr="00490017">
              <w:rPr>
                <w:rFonts w:cs="Arial"/>
              </w:rPr>
              <w:t>.</w:t>
            </w:r>
          </w:p>
          <w:tbl>
            <w:tblPr>
              <w:tblStyle w:val="TableGridLigh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24"/>
              <w:gridCol w:w="1680"/>
              <w:gridCol w:w="1674"/>
              <w:gridCol w:w="1674"/>
              <w:gridCol w:w="1653"/>
            </w:tblGrid>
            <w:tr w:rsidR="000D22E2" w:rsidRPr="00490017" w14:paraId="1E951311" w14:textId="77777777" w:rsidTr="00D776F7">
              <w:tc>
                <w:tcPr>
                  <w:tcW w:w="1724" w:type="dxa"/>
                </w:tcPr>
                <w:p w14:paraId="12146C38" w14:textId="0ABAEB82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Age (in years)</w:t>
                  </w:r>
                </w:p>
              </w:tc>
              <w:tc>
                <w:tcPr>
                  <w:tcW w:w="1680" w:type="dxa"/>
                </w:tcPr>
                <w:p w14:paraId="34885000" w14:textId="42AF29EF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23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0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674" w:type="dxa"/>
                </w:tcPr>
                <w:p w14:paraId="6C71D78E" w14:textId="54E88446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23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3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1674" w:type="dxa"/>
                </w:tcPr>
                <w:p w14:paraId="66674E55" w14:textId="77275216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23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11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65</w:t>
                  </w:r>
                </w:p>
              </w:tc>
              <w:tc>
                <w:tcPr>
                  <w:tcW w:w="1653" w:type="dxa"/>
                </w:tcPr>
                <w:p w14:paraId="2434F483" w14:textId="491A7779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23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Over 64</w:t>
                  </w:r>
                </w:p>
              </w:tc>
            </w:tr>
            <w:tr w:rsidR="000D22E2" w:rsidRPr="00490017" w14:paraId="67F90A64" w14:textId="77777777" w:rsidTr="00D776F7">
              <w:tc>
                <w:tcPr>
                  <w:tcW w:w="1724" w:type="dxa"/>
                </w:tcPr>
                <w:p w14:paraId="580945F8" w14:textId="4FF82040" w:rsidR="000D22E2" w:rsidRPr="00490017" w:rsidRDefault="000D22E2" w:rsidP="00C84E3D">
                  <w:pPr>
                    <w:pStyle w:val="ListParagraph"/>
                    <w:framePr w:hSpace="180" w:wrap="around" w:vAnchor="text" w:hAnchor="margin" w:y="9"/>
                    <w:spacing w:line="276" w:lineRule="auto"/>
                    <w:ind w:left="0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Normal temperature range</w:t>
                  </w:r>
                </w:p>
              </w:tc>
              <w:tc>
                <w:tcPr>
                  <w:tcW w:w="1680" w:type="dxa"/>
                </w:tcPr>
                <w:p w14:paraId="3C9BA750" w14:textId="3A84FBF8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9</w:t>
                  </w:r>
                  <w:r w:rsidR="00A9445C" w:rsidRPr="00490017">
                    <w:rPr>
                      <w:rFonts w:cs="Arial"/>
                    </w:rPr>
                    <w:t>7.5</w:t>
                  </w:r>
                  <w:r w:rsidR="00D279E0" w:rsidRPr="00490017">
                    <w:rPr>
                      <w:rFonts w:cs="Arial"/>
                    </w:rPr>
                    <w:t>–</w:t>
                  </w:r>
                  <w:r w:rsidR="00A9445C" w:rsidRPr="00490017">
                    <w:rPr>
                      <w:rFonts w:cs="Arial"/>
                    </w:rPr>
                    <w:t>100.4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F</w:t>
                  </w:r>
                </w:p>
                <w:p w14:paraId="76CE3047" w14:textId="1AC33B2D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(3</w:t>
                  </w:r>
                  <w:r w:rsidR="00A9445C" w:rsidRPr="00490017">
                    <w:rPr>
                      <w:rFonts w:cs="Arial"/>
                    </w:rPr>
                    <w:t>6.4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="00A9445C" w:rsidRPr="00490017">
                    <w:rPr>
                      <w:rFonts w:cs="Arial"/>
                    </w:rPr>
                    <w:t>38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674" w:type="dxa"/>
                </w:tcPr>
                <w:p w14:paraId="6D0C9422" w14:textId="27C4091F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9</w:t>
                  </w:r>
                  <w:r w:rsidR="00A9445C" w:rsidRPr="00490017">
                    <w:rPr>
                      <w:rFonts w:cs="Arial"/>
                    </w:rPr>
                    <w:t>7</w:t>
                  </w:r>
                  <w:r w:rsidRPr="00490017">
                    <w:rPr>
                      <w:rFonts w:cs="Arial"/>
                    </w:rPr>
                    <w:t>–</w:t>
                  </w:r>
                  <w:r w:rsidR="00A9445C" w:rsidRPr="00490017">
                    <w:rPr>
                      <w:rFonts w:cs="Arial"/>
                    </w:rPr>
                    <w:t>100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F</w:t>
                  </w:r>
                </w:p>
                <w:p w14:paraId="5F1F174A" w14:textId="4EC1FE45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(3</w:t>
                  </w:r>
                  <w:r w:rsidR="00A9445C" w:rsidRPr="00490017">
                    <w:rPr>
                      <w:rFonts w:cs="Arial"/>
                    </w:rPr>
                    <w:t>6.1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37.</w:t>
                  </w:r>
                  <w:r w:rsidR="00A9445C" w:rsidRPr="00490017">
                    <w:rPr>
                      <w:rFonts w:cs="Arial"/>
                    </w:rPr>
                    <w:t>7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674" w:type="dxa"/>
                </w:tcPr>
                <w:p w14:paraId="722FDEF0" w14:textId="7E2C598B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9</w:t>
                  </w:r>
                  <w:r w:rsidR="00A9445C" w:rsidRPr="00490017">
                    <w:rPr>
                      <w:rFonts w:cs="Arial"/>
                    </w:rPr>
                    <w:t>6</w:t>
                  </w:r>
                  <w:r w:rsidRPr="00490017">
                    <w:rPr>
                      <w:rFonts w:cs="Arial"/>
                    </w:rPr>
                    <w:t>.6–99.</w:t>
                  </w:r>
                  <w:r w:rsidR="00A9445C" w:rsidRPr="00490017">
                    <w:rPr>
                      <w:rFonts w:cs="Arial"/>
                    </w:rPr>
                    <w:t>7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F</w:t>
                  </w:r>
                </w:p>
                <w:p w14:paraId="46CD69B1" w14:textId="03447D81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(3</w:t>
                  </w:r>
                  <w:r w:rsidR="00A9445C" w:rsidRPr="00490017">
                    <w:rPr>
                      <w:rFonts w:cs="Arial"/>
                    </w:rPr>
                    <w:t>5.8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37.6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653" w:type="dxa"/>
                </w:tcPr>
                <w:p w14:paraId="5DD1DC1D" w14:textId="2F03A5B6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96.4–9</w:t>
                  </w:r>
                  <w:r w:rsidR="00A9445C" w:rsidRPr="00490017">
                    <w:rPr>
                      <w:rFonts w:cs="Arial"/>
                    </w:rPr>
                    <w:t>9</w:t>
                  </w:r>
                  <w:r w:rsidRPr="00490017">
                    <w:rPr>
                      <w:rFonts w:cs="Arial"/>
                    </w:rPr>
                    <w:t>.5</w:t>
                  </w:r>
                  <w:r w:rsidRPr="00490017">
                    <w:rPr>
                      <w:rFonts w:cs="Arial"/>
                    </w:rPr>
                    <w:sym w:font="Symbol" w:char="F0B0"/>
                  </w:r>
                  <w:r w:rsidRPr="00490017">
                    <w:rPr>
                      <w:rFonts w:cs="Arial"/>
                    </w:rPr>
                    <w:t>F</w:t>
                  </w:r>
                </w:p>
                <w:p w14:paraId="515C9626" w14:textId="758F6892" w:rsidR="000D22E2" w:rsidRPr="00490017" w:rsidRDefault="000D22E2" w:rsidP="00C84E3D">
                  <w:pPr>
                    <w:framePr w:hSpace="180" w:wrap="around" w:vAnchor="text" w:hAnchor="margin" w:y="9"/>
                    <w:spacing w:line="276" w:lineRule="auto"/>
                    <w:rPr>
                      <w:rFonts w:cs="Arial"/>
                    </w:rPr>
                  </w:pPr>
                  <w:r w:rsidRPr="00490017">
                    <w:rPr>
                      <w:rFonts w:cs="Arial"/>
                    </w:rPr>
                    <w:t>(35.</w:t>
                  </w:r>
                  <w:r w:rsidR="00A9445C" w:rsidRPr="00490017">
                    <w:rPr>
                      <w:rFonts w:cs="Arial"/>
                    </w:rPr>
                    <w:t>7</w:t>
                  </w:r>
                  <w:r w:rsidR="0013057F" w:rsidRPr="00490017">
                    <w:rPr>
                      <w:rFonts w:cs="Arial"/>
                    </w:rPr>
                    <w:t>–</w:t>
                  </w:r>
                  <w:r w:rsidRPr="00490017">
                    <w:rPr>
                      <w:rFonts w:cs="Arial"/>
                    </w:rPr>
                    <w:t>3</w:t>
                  </w:r>
                  <w:r w:rsidR="00A9445C" w:rsidRPr="00490017">
                    <w:rPr>
                      <w:rFonts w:cs="Arial"/>
                    </w:rPr>
                    <w:t>7.5</w:t>
                  </w:r>
                  <w:r w:rsidRPr="00490017">
                    <w:rPr>
                      <w:rFonts w:cs="Arial"/>
                    </w:rPr>
                    <w:t>C)</w:t>
                  </w:r>
                </w:p>
              </w:tc>
            </w:tr>
          </w:tbl>
          <w:p w14:paraId="4DD80AE2" w14:textId="77777777" w:rsidR="00F850AC" w:rsidRPr="00490017" w:rsidRDefault="00F850AC" w:rsidP="007C0FA8">
            <w:pPr>
              <w:spacing w:line="276" w:lineRule="auto"/>
              <w:ind w:left="720"/>
              <w:rPr>
                <w:rFonts w:cs="Arial"/>
              </w:rPr>
            </w:pPr>
          </w:p>
          <w:p w14:paraId="26C4AFB2" w14:textId="2A0B9FEA" w:rsidR="00D742D0" w:rsidRPr="00490017" w:rsidRDefault="00345330" w:rsidP="00D776F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</w:rPr>
            </w:pPr>
            <w:r w:rsidRPr="00490017">
              <w:rPr>
                <w:rFonts w:cs="Arial"/>
              </w:rPr>
              <w:lastRenderedPageBreak/>
              <w:t>Provide the service user with their temperatur</w:t>
            </w:r>
            <w:r w:rsidR="008C35E2" w:rsidRPr="00490017">
              <w:rPr>
                <w:rFonts w:cs="Arial"/>
              </w:rPr>
              <w:t xml:space="preserve">e. </w:t>
            </w:r>
            <w:r w:rsidR="00D742D0" w:rsidRPr="00490017">
              <w:rPr>
                <w:rStyle w:val="cf01"/>
                <w:rFonts w:ascii="Arial" w:hAnsi="Arial" w:cs="Arial"/>
                <w:sz w:val="22"/>
                <w:szCs w:val="22"/>
              </w:rPr>
              <w:t>Should the temperature recorded be outside the normal range please report this to the appropriate supervisor and follow the appropriate protocol</w:t>
            </w:r>
            <w:r w:rsidR="00C75BB2" w:rsidRPr="00490017">
              <w:rPr>
                <w:rStyle w:val="cf01"/>
                <w:rFonts w:ascii="Arial" w:hAnsi="Arial" w:cs="Arial"/>
                <w:sz w:val="22"/>
                <w:szCs w:val="22"/>
              </w:rPr>
              <w:t>.</w:t>
            </w:r>
          </w:p>
          <w:p w14:paraId="71E11F48" w14:textId="77777777" w:rsidR="00753919" w:rsidRPr="00490017" w:rsidRDefault="00753919" w:rsidP="00753919">
            <w:pPr>
              <w:pStyle w:val="ListParagraph"/>
              <w:rPr>
                <w:rFonts w:cs="Arial"/>
              </w:rPr>
            </w:pPr>
          </w:p>
          <w:p w14:paraId="23C0B106" w14:textId="77777777" w:rsidR="00F850AC" w:rsidRPr="00490017" w:rsidRDefault="00F850AC" w:rsidP="007567B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</w:rPr>
            </w:pPr>
            <w:r w:rsidRPr="00490017">
              <w:rPr>
                <w:rFonts w:cs="Arial"/>
                <w:b/>
                <w:bCs/>
                <w:color w:val="000000"/>
              </w:rPr>
              <w:t>After the procedure:</w:t>
            </w:r>
          </w:p>
          <w:p w14:paraId="1B7991F7" w14:textId="58BA56C9" w:rsidR="007567BE" w:rsidRPr="00490017" w:rsidRDefault="00D742D0" w:rsidP="002F240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cs="Arial"/>
                <w:color w:val="000000"/>
              </w:rPr>
              <w:t xml:space="preserve">Dispose of the probe </w:t>
            </w:r>
            <w:r w:rsidR="00A9445C" w:rsidRPr="00490017">
              <w:rPr>
                <w:rFonts w:cs="Arial"/>
                <w:color w:val="000000"/>
              </w:rPr>
              <w:t>cover</w:t>
            </w:r>
            <w:r w:rsidR="0013057F" w:rsidRPr="00490017">
              <w:rPr>
                <w:rFonts w:cs="Arial"/>
                <w:color w:val="000000"/>
              </w:rPr>
              <w:t>.</w:t>
            </w:r>
          </w:p>
          <w:p w14:paraId="5C915C4E" w14:textId="21E1772A" w:rsidR="00A95D3A" w:rsidRPr="00490017" w:rsidRDefault="00A95D3A" w:rsidP="002F240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Remove gloves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4F8EF2E1" w14:textId="065865FD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Clean hands and wrists (and forearms if necessary) with alcohol-based hand rub or </w:t>
            </w:r>
            <w:r w:rsidR="0013057F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gel or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 use soap and water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3A0873B6" w14:textId="6BF7DBEF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Remove apron – do not touch the outside front of the apron, this will be contaminated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714BDC04" w14:textId="11636FAD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Clean hands and wrists (and forearms if necessary) again with alcohol-based hand rub or gel</w:t>
            </w:r>
            <w:r w:rsidR="000E629C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 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or use soap and water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06446990" w14:textId="084D60BF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When 2 metr</w:t>
            </w:r>
            <w:r w:rsidR="00D90AC6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e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s from the client, carefully remove eye protection by the sidearms or side straps. Discard or disinfect for next use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09926034" w14:textId="0FCECC10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Clean hands and wrists (and forearms if necessary) again with alcohol-based hand rub or gel</w:t>
            </w:r>
            <w:r w:rsidR="000E629C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 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or use soap and water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4F8168C8" w14:textId="0B4BC881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Remove mask – do not touch the front of the mask but remove by the ear loops or ties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0232361C" w14:textId="32B26D94" w:rsidR="00A95D3A" w:rsidRPr="00490017" w:rsidRDefault="00A95D3A" w:rsidP="002F2407">
            <w:pPr>
              <w:numPr>
                <w:ilvl w:val="0"/>
                <w:numId w:val="33"/>
              </w:num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Clean hands and wrists (and forearms if necessary) again with alcohol-based hand rub or gel</w:t>
            </w:r>
            <w:r w:rsidR="000E629C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 </w:t>
            </w: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or use soap and water</w:t>
            </w:r>
            <w:r w:rsidR="007567BE"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>.</w:t>
            </w:r>
          </w:p>
          <w:p w14:paraId="68127A7E" w14:textId="77777777" w:rsidR="00366EAD" w:rsidRPr="00490017" w:rsidRDefault="00366EAD" w:rsidP="00366EAD">
            <w:p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</w:p>
          <w:p w14:paraId="0CA12CB1" w14:textId="024107BE" w:rsidR="00366EAD" w:rsidRPr="00490017" w:rsidRDefault="00366EAD" w:rsidP="00366EAD">
            <w:pPr>
              <w:shd w:val="clear" w:color="auto" w:fill="FFFFFF"/>
              <w:spacing w:after="75" w:line="276" w:lineRule="auto"/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</w:pPr>
            <w:r w:rsidRPr="00490017">
              <w:rPr>
                <w:rFonts w:eastAsia="Times New Roman" w:cs="Arial"/>
                <w:color w:val="0B0C0C"/>
                <w:kern w:val="0"/>
                <w:lang w:eastAsia="en-GB"/>
                <w14:ligatures w14:val="none"/>
              </w:rPr>
              <w:t xml:space="preserve">Source: </w:t>
            </w:r>
            <w:hyperlink r:id="rId11" w:history="1">
              <w:r w:rsidRPr="00490017">
                <w:rPr>
                  <w:rFonts w:cs="Arial"/>
                  <w:color w:val="094FD1"/>
                  <w:kern w:val="0"/>
                  <w:u w:val="single" w:color="094FD1"/>
                </w:rPr>
                <w:t>Guide to donning (putting on) and doffing (removing) PPE (non AGP) in adult social care settings (text only version) - GOV.UK (www.gov.uk)</w:t>
              </w:r>
            </w:hyperlink>
          </w:p>
          <w:p w14:paraId="2BEBD037" w14:textId="50A9644A" w:rsidR="00753919" w:rsidRPr="00490017" w:rsidRDefault="00753919" w:rsidP="00753919">
            <w:pPr>
              <w:pStyle w:val="ListParagraph"/>
              <w:rPr>
                <w:rFonts w:cs="Arial"/>
              </w:rPr>
            </w:pPr>
          </w:p>
        </w:tc>
      </w:tr>
      <w:tr w:rsidR="00F239B3" w:rsidRPr="00490017" w14:paraId="7462320C" w14:textId="77777777" w:rsidTr="00F239B3">
        <w:trPr>
          <w:trHeight w:val="407"/>
        </w:trPr>
        <w:tc>
          <w:tcPr>
            <w:tcW w:w="9351" w:type="dxa"/>
            <w:gridSpan w:val="2"/>
            <w:vAlign w:val="center"/>
          </w:tcPr>
          <w:p w14:paraId="57019FF4" w14:textId="77777777" w:rsidR="00F239B3" w:rsidRPr="00490017" w:rsidRDefault="00F239B3" w:rsidP="00F239B3">
            <w:pPr>
              <w:rPr>
                <w:rFonts w:cs="Arial"/>
                <w:b/>
              </w:rPr>
            </w:pPr>
            <w:r w:rsidRPr="00490017">
              <w:rPr>
                <w:rFonts w:cs="Arial"/>
                <w:b/>
              </w:rPr>
              <w:lastRenderedPageBreak/>
              <w:t xml:space="preserve">Links to Other Policies: </w:t>
            </w:r>
          </w:p>
        </w:tc>
      </w:tr>
      <w:tr w:rsidR="00F239B3" w:rsidRPr="00490017" w14:paraId="59333351" w14:textId="77777777" w:rsidTr="00F239B3">
        <w:trPr>
          <w:trHeight w:val="958"/>
        </w:trPr>
        <w:tc>
          <w:tcPr>
            <w:tcW w:w="9351" w:type="dxa"/>
            <w:gridSpan w:val="2"/>
            <w:vAlign w:val="center"/>
          </w:tcPr>
          <w:p w14:paraId="525559E0" w14:textId="706E8E6A" w:rsidR="00F239B3" w:rsidRPr="00490017" w:rsidRDefault="00244D84" w:rsidP="00D776F7">
            <w:pPr>
              <w:pStyle w:val="ListParagraph"/>
              <w:numPr>
                <w:ilvl w:val="0"/>
                <w:numId w:val="42"/>
              </w:numPr>
              <w:rPr>
                <w:rFonts w:cs="Arial"/>
              </w:rPr>
            </w:pPr>
            <w:r w:rsidRPr="00490017">
              <w:rPr>
                <w:rFonts w:cs="Arial"/>
              </w:rPr>
              <w:t xml:space="preserve">NHS handwashing </w:t>
            </w:r>
            <w:r w:rsidR="00753919" w:rsidRPr="00490017">
              <w:rPr>
                <w:rFonts w:cs="Arial"/>
              </w:rPr>
              <w:t>procedure</w:t>
            </w:r>
          </w:p>
          <w:p w14:paraId="4F0A4CDA" w14:textId="1ABE9462" w:rsidR="00753919" w:rsidRPr="00490017" w:rsidRDefault="00753919" w:rsidP="00D776F7">
            <w:pPr>
              <w:pStyle w:val="ListParagraph"/>
              <w:numPr>
                <w:ilvl w:val="0"/>
                <w:numId w:val="42"/>
              </w:numPr>
              <w:rPr>
                <w:rFonts w:cs="Arial"/>
              </w:rPr>
            </w:pPr>
            <w:r w:rsidRPr="00490017">
              <w:rPr>
                <w:rFonts w:cs="Arial"/>
              </w:rPr>
              <w:t>Calibrating a digital thermometer</w:t>
            </w:r>
            <w:r w:rsidR="000D22E2" w:rsidRPr="00490017">
              <w:rPr>
                <w:rFonts w:cs="Arial"/>
              </w:rPr>
              <w:t xml:space="preserve"> (specific to brand of thermometer used)</w:t>
            </w:r>
          </w:p>
        </w:tc>
      </w:tr>
      <w:bookmarkEnd w:id="0"/>
      <w:bookmarkEnd w:id="1"/>
    </w:tbl>
    <w:p w14:paraId="21B4E911" w14:textId="77777777" w:rsidR="007E1416" w:rsidRPr="00490017" w:rsidRDefault="007E1416" w:rsidP="00F239B3">
      <w:pPr>
        <w:spacing w:after="0"/>
        <w:rPr>
          <w:rFonts w:cs="Arial"/>
        </w:rPr>
      </w:pPr>
    </w:p>
    <w:sectPr w:rsidR="007E1416" w:rsidRPr="00490017" w:rsidSect="002C11C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92BF" w14:textId="77777777" w:rsidR="009D4D0C" w:rsidRDefault="009D4D0C" w:rsidP="000C51BB">
      <w:pPr>
        <w:spacing w:after="0" w:line="240" w:lineRule="auto"/>
      </w:pPr>
      <w:r>
        <w:separator/>
      </w:r>
    </w:p>
  </w:endnote>
  <w:endnote w:type="continuationSeparator" w:id="0">
    <w:p w14:paraId="0E276A76" w14:textId="77777777" w:rsidR="009D4D0C" w:rsidRDefault="009D4D0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4253"/>
    </w:tblGrid>
    <w:tr w:rsidR="000E629C" w14:paraId="30845723" w14:textId="77777777" w:rsidTr="000E629C">
      <w:tc>
        <w:tcPr>
          <w:tcW w:w="2727" w:type="pct"/>
        </w:tcPr>
        <w:p w14:paraId="3E9058FB" w14:textId="01A72D0D" w:rsidR="000E629C" w:rsidRPr="00D776F7" w:rsidRDefault="000E629C" w:rsidP="000E629C">
          <w:pPr>
            <w:pStyle w:val="Header"/>
            <w:spacing w:after="120"/>
            <w:rPr>
              <w:noProof/>
              <w:sz w:val="18"/>
              <w:szCs w:val="18"/>
            </w:rPr>
          </w:pPr>
          <w:r w:rsidRPr="00D776F7">
            <w:rPr>
              <w:noProof/>
              <w:sz w:val="18"/>
              <w:szCs w:val="18"/>
            </w:rPr>
            <w:t>Health: Good scientific and clinical practice</w:t>
          </w:r>
          <w:r w:rsidR="00297B50">
            <w:rPr>
              <w:noProof/>
              <w:sz w:val="18"/>
              <w:szCs w:val="18"/>
            </w:rPr>
            <w:t xml:space="preserve"> (Health)</w:t>
          </w:r>
        </w:p>
        <w:p w14:paraId="2921BD06" w14:textId="247B2127" w:rsidR="0013057F" w:rsidRPr="00D776F7" w:rsidRDefault="0013057F" w:rsidP="000E629C">
          <w:pPr>
            <w:pStyle w:val="Header"/>
            <w:spacing w:after="120"/>
            <w:rPr>
              <w:sz w:val="18"/>
              <w:szCs w:val="18"/>
            </w:rPr>
          </w:pPr>
          <w:r w:rsidRPr="00D776F7">
            <w:rPr>
              <w:sz w:val="18"/>
              <w:szCs w:val="18"/>
            </w:rPr>
            <w:t>Version 1, January 2024</w:t>
          </w:r>
        </w:p>
      </w:tc>
      <w:tc>
        <w:tcPr>
          <w:tcW w:w="2273" w:type="pct"/>
        </w:tcPr>
        <w:p w14:paraId="0E5D68A6" w14:textId="1B853DF4" w:rsidR="000E629C" w:rsidRDefault="000E629C" w:rsidP="000E629C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0214F2">
            <w:rPr>
              <w:sz w:val="18"/>
              <w:szCs w:val="18"/>
            </w:rPr>
            <w:t>Gatsby Technical Education Projects 202</w:t>
          </w:r>
          <w:r w:rsidR="0013057F">
            <w:rPr>
              <w:sz w:val="18"/>
              <w:szCs w:val="18"/>
            </w:rPr>
            <w:t>4</w:t>
          </w:r>
        </w:p>
      </w:tc>
    </w:tr>
  </w:tbl>
  <w:p w14:paraId="4A66E37E" w14:textId="77777777" w:rsidR="00D776F7" w:rsidRDefault="00D776F7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7ABD4758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771"/>
    </w:tblGrid>
    <w:tr w:rsidR="00D776F7" w14:paraId="20F1C08E" w14:textId="77777777" w:rsidTr="0034352E">
      <w:tc>
        <w:tcPr>
          <w:tcW w:w="5245" w:type="dxa"/>
        </w:tcPr>
        <w:p w14:paraId="041FA941" w14:textId="77777777" w:rsidR="00D776F7" w:rsidRPr="00D7781A" w:rsidRDefault="00D776F7" w:rsidP="00D776F7">
          <w:pPr>
            <w:pStyle w:val="Header"/>
            <w:spacing w:after="120"/>
            <w:rPr>
              <w:noProof/>
              <w:sz w:val="18"/>
              <w:szCs w:val="18"/>
            </w:rPr>
          </w:pPr>
          <w:r w:rsidRPr="00D7781A">
            <w:rPr>
              <w:noProof/>
              <w:sz w:val="18"/>
              <w:szCs w:val="18"/>
            </w:rPr>
            <w:t>Health: Good scientific and clinical practice (Health)</w:t>
          </w:r>
        </w:p>
        <w:p w14:paraId="4DACCAB3" w14:textId="0DC70B17" w:rsidR="00D776F7" w:rsidRPr="00D7781A" w:rsidRDefault="00D776F7" w:rsidP="00D776F7">
          <w:pPr>
            <w:pStyle w:val="Header"/>
            <w:spacing w:after="120"/>
            <w:rPr>
              <w:sz w:val="18"/>
              <w:szCs w:val="18"/>
            </w:rPr>
          </w:pPr>
          <w:r w:rsidRPr="00D7781A">
            <w:rPr>
              <w:noProof/>
              <w:sz w:val="18"/>
              <w:szCs w:val="18"/>
            </w:rPr>
            <w:t xml:space="preserve">Version 1, </w:t>
          </w:r>
          <w:r w:rsidR="000334F4" w:rsidRPr="00D7781A">
            <w:rPr>
              <w:noProof/>
              <w:sz w:val="18"/>
              <w:szCs w:val="18"/>
            </w:rPr>
            <w:t>June</w:t>
          </w:r>
          <w:r w:rsidRPr="00D7781A">
            <w:rPr>
              <w:noProof/>
              <w:sz w:val="18"/>
              <w:szCs w:val="18"/>
            </w:rPr>
            <w:t xml:space="preserve"> 2024</w:t>
          </w:r>
        </w:p>
      </w:tc>
      <w:tc>
        <w:tcPr>
          <w:tcW w:w="3771" w:type="dxa"/>
        </w:tcPr>
        <w:p w14:paraId="526AC192" w14:textId="77777777" w:rsidR="00834885" w:rsidRPr="00D7781A" w:rsidRDefault="00834885" w:rsidP="00D776F7">
          <w:pPr>
            <w:pStyle w:val="Header"/>
            <w:spacing w:after="120"/>
            <w:jc w:val="right"/>
            <w:rPr>
              <w:sz w:val="18"/>
              <w:szCs w:val="18"/>
            </w:rPr>
          </w:pPr>
        </w:p>
        <w:p w14:paraId="78E915AF" w14:textId="2B896EC2" w:rsidR="00D776F7" w:rsidRPr="00D7781A" w:rsidRDefault="00D776F7" w:rsidP="00D776F7">
          <w:pPr>
            <w:pStyle w:val="Header"/>
            <w:spacing w:after="120"/>
            <w:jc w:val="right"/>
            <w:rPr>
              <w:sz w:val="18"/>
              <w:szCs w:val="18"/>
            </w:rPr>
          </w:pPr>
          <w:r w:rsidRPr="00D7781A">
            <w:rPr>
              <w:sz w:val="18"/>
              <w:szCs w:val="18"/>
            </w:rPr>
            <w:t>© Gatsby Technical Education Projects 2024</w:t>
          </w:r>
        </w:p>
      </w:tc>
    </w:tr>
  </w:tbl>
  <w:p w14:paraId="7CB15310" w14:textId="77777777" w:rsidR="00D776F7" w:rsidRDefault="00D776F7" w:rsidP="00D776F7">
    <w:pPr>
      <w:pStyle w:val="Footer"/>
      <w:jc w:val="center"/>
    </w:pPr>
  </w:p>
  <w:p w14:paraId="2C16BAE3" w14:textId="763C2701" w:rsidR="0099395B" w:rsidRPr="00D776F7" w:rsidRDefault="00000000" w:rsidP="00D776F7">
    <w:pPr>
      <w:pStyle w:val="Footer"/>
      <w:jc w:val="center"/>
      <w:rPr>
        <w:color w:val="808080" w:themeColor="background1" w:themeShade="80"/>
      </w:rPr>
    </w:pPr>
    <w:sdt>
      <w:sdtPr>
        <w:id w:val="839044459"/>
        <w:docPartObj>
          <w:docPartGallery w:val="Page Numbers (Bottom of Page)"/>
          <w:docPartUnique/>
        </w:docPartObj>
      </w:sdtPr>
      <w:sdtEndPr>
        <w:rPr>
          <w:noProof/>
          <w:color w:val="808080" w:themeColor="background1" w:themeShade="80"/>
          <w:sz w:val="20"/>
          <w:szCs w:val="20"/>
        </w:rPr>
      </w:sdtEndPr>
      <w:sdtContent>
        <w:r w:rsidR="00D776F7" w:rsidRPr="00D776F7">
          <w:rPr>
            <w:color w:val="808080" w:themeColor="background1" w:themeShade="80"/>
          </w:rPr>
          <w:fldChar w:fldCharType="begin"/>
        </w:r>
        <w:r w:rsidR="00D776F7" w:rsidRPr="00D776F7">
          <w:rPr>
            <w:color w:val="808080" w:themeColor="background1" w:themeShade="80"/>
          </w:rPr>
          <w:instrText xml:space="preserve"> PAGE   \* MERGEFORMAT </w:instrText>
        </w:r>
        <w:r w:rsidR="00D776F7" w:rsidRPr="00D776F7">
          <w:rPr>
            <w:color w:val="808080" w:themeColor="background1" w:themeShade="80"/>
          </w:rPr>
          <w:fldChar w:fldCharType="separate"/>
        </w:r>
        <w:r w:rsidR="00D776F7" w:rsidRPr="00D776F7">
          <w:rPr>
            <w:noProof/>
            <w:color w:val="808080" w:themeColor="background1" w:themeShade="80"/>
          </w:rPr>
          <w:t>2</w:t>
        </w:r>
        <w:r w:rsidR="00D776F7" w:rsidRPr="00D776F7">
          <w:rPr>
            <w:noProof/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DB9E" w14:textId="77777777" w:rsidR="009D4D0C" w:rsidRDefault="009D4D0C" w:rsidP="000C51BB">
      <w:pPr>
        <w:spacing w:after="0" w:line="240" w:lineRule="auto"/>
      </w:pPr>
      <w:r>
        <w:separator/>
      </w:r>
    </w:p>
  </w:footnote>
  <w:footnote w:type="continuationSeparator" w:id="0">
    <w:p w14:paraId="48870EAD" w14:textId="77777777" w:rsidR="009D4D0C" w:rsidRDefault="009D4D0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22512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  <w:gridCol w:w="6748"/>
    </w:tblGrid>
    <w:tr w:rsidR="0039312C" w14:paraId="6BAC525F" w14:textId="77777777" w:rsidTr="0039312C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39312C" w:rsidRDefault="0039312C" w:rsidP="0039312C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6DB6076" w14:textId="77777777" w:rsidR="0039312C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73923FBE" w14:textId="49105A78" w:rsidR="0039312C" w:rsidRPr="000F0146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533EC4CB" w14:textId="254C1A1B" w:rsidR="0039312C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2F65D5D4" w14:textId="2A1086A0" w:rsidR="0039312C" w:rsidRPr="000F0146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 up/Consolidation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39312C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39312C" w:rsidRDefault="0039312C" w:rsidP="0039312C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5A21D61C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B81C5E">
            <w:rPr>
              <w:sz w:val="20"/>
              <w:szCs w:val="20"/>
            </w:rPr>
            <w:t>2: Using a SOP</w:t>
          </w:r>
        </w:p>
        <w:p w14:paraId="12CAE750" w14:textId="63F20BD4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54B"/>
    <w:multiLevelType w:val="hybridMultilevel"/>
    <w:tmpl w:val="74AA4102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2F5915"/>
    <w:multiLevelType w:val="hybridMultilevel"/>
    <w:tmpl w:val="EF8A2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63AB4"/>
    <w:multiLevelType w:val="multilevel"/>
    <w:tmpl w:val="6F3495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16034"/>
    <w:multiLevelType w:val="hybridMultilevel"/>
    <w:tmpl w:val="14AC5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5166C5"/>
    <w:multiLevelType w:val="hybridMultilevel"/>
    <w:tmpl w:val="240E8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2C319A"/>
    <w:multiLevelType w:val="multilevel"/>
    <w:tmpl w:val="1D14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E0279A"/>
    <w:multiLevelType w:val="multilevel"/>
    <w:tmpl w:val="DF2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65CDA"/>
    <w:multiLevelType w:val="multilevel"/>
    <w:tmpl w:val="6F3495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C23182"/>
    <w:multiLevelType w:val="multilevel"/>
    <w:tmpl w:val="0886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2"/>
  </w:num>
  <w:num w:numId="4" w16cid:durableId="358432893">
    <w:abstractNumId w:val="25"/>
  </w:num>
  <w:num w:numId="5" w16cid:durableId="1769345959">
    <w:abstractNumId w:val="4"/>
  </w:num>
  <w:num w:numId="6" w16cid:durableId="2092727936">
    <w:abstractNumId w:val="21"/>
  </w:num>
  <w:num w:numId="7" w16cid:durableId="1424182519">
    <w:abstractNumId w:val="35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27"/>
  </w:num>
  <w:num w:numId="12" w16cid:durableId="476338105">
    <w:abstractNumId w:val="11"/>
  </w:num>
  <w:num w:numId="13" w16cid:durableId="2010592579">
    <w:abstractNumId w:val="40"/>
  </w:num>
  <w:num w:numId="14" w16cid:durableId="1520898666">
    <w:abstractNumId w:val="19"/>
  </w:num>
  <w:num w:numId="15" w16cid:durableId="802045075">
    <w:abstractNumId w:val="13"/>
  </w:num>
  <w:num w:numId="16" w16cid:durableId="1861626428">
    <w:abstractNumId w:val="37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3"/>
  </w:num>
  <w:num w:numId="21" w16cid:durableId="1186407963">
    <w:abstractNumId w:val="6"/>
  </w:num>
  <w:num w:numId="22" w16cid:durableId="311957161">
    <w:abstractNumId w:val="41"/>
  </w:num>
  <w:num w:numId="23" w16cid:durableId="1162358596">
    <w:abstractNumId w:val="36"/>
  </w:num>
  <w:num w:numId="24" w16cid:durableId="306781313">
    <w:abstractNumId w:val="26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0"/>
  </w:num>
  <w:num w:numId="28" w16cid:durableId="2053068657">
    <w:abstractNumId w:val="20"/>
  </w:num>
  <w:num w:numId="29" w16cid:durableId="1481120608">
    <w:abstractNumId w:val="33"/>
  </w:num>
  <w:num w:numId="30" w16cid:durableId="938365419">
    <w:abstractNumId w:val="17"/>
  </w:num>
  <w:num w:numId="31" w16cid:durableId="1761608071">
    <w:abstractNumId w:val="38"/>
  </w:num>
  <w:num w:numId="32" w16cid:durableId="584151840">
    <w:abstractNumId w:val="31"/>
  </w:num>
  <w:num w:numId="33" w16cid:durableId="1377777445">
    <w:abstractNumId w:val="34"/>
  </w:num>
  <w:num w:numId="34" w16cid:durableId="1850412127">
    <w:abstractNumId w:val="32"/>
  </w:num>
  <w:num w:numId="35" w16cid:durableId="762916188">
    <w:abstractNumId w:val="29"/>
  </w:num>
  <w:num w:numId="36" w16cid:durableId="1323048466">
    <w:abstractNumId w:val="39"/>
  </w:num>
  <w:num w:numId="37" w16cid:durableId="89475681">
    <w:abstractNumId w:val="30"/>
  </w:num>
  <w:num w:numId="38" w16cid:durableId="470709862">
    <w:abstractNumId w:val="1"/>
  </w:num>
  <w:num w:numId="39" w16cid:durableId="1166091824">
    <w:abstractNumId w:val="24"/>
  </w:num>
  <w:num w:numId="40" w16cid:durableId="1871648553">
    <w:abstractNumId w:val="10"/>
  </w:num>
  <w:num w:numId="41" w16cid:durableId="1992321008">
    <w:abstractNumId w:val="9"/>
  </w:num>
  <w:num w:numId="42" w16cid:durableId="11074589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05F0"/>
    <w:rsid w:val="00032229"/>
    <w:rsid w:val="000334F4"/>
    <w:rsid w:val="000361B9"/>
    <w:rsid w:val="00041B75"/>
    <w:rsid w:val="00041F60"/>
    <w:rsid w:val="000445A2"/>
    <w:rsid w:val="000470E0"/>
    <w:rsid w:val="0006084A"/>
    <w:rsid w:val="00067853"/>
    <w:rsid w:val="00083373"/>
    <w:rsid w:val="00083A47"/>
    <w:rsid w:val="00086B0C"/>
    <w:rsid w:val="000C51BB"/>
    <w:rsid w:val="000D113C"/>
    <w:rsid w:val="000D22E2"/>
    <w:rsid w:val="000E21D8"/>
    <w:rsid w:val="000E629C"/>
    <w:rsid w:val="000F0146"/>
    <w:rsid w:val="000F76C1"/>
    <w:rsid w:val="001072B9"/>
    <w:rsid w:val="0011274B"/>
    <w:rsid w:val="0013057F"/>
    <w:rsid w:val="001360C6"/>
    <w:rsid w:val="00142E67"/>
    <w:rsid w:val="0015537E"/>
    <w:rsid w:val="00163A1E"/>
    <w:rsid w:val="00164D0C"/>
    <w:rsid w:val="0016745C"/>
    <w:rsid w:val="001735A5"/>
    <w:rsid w:val="001C459A"/>
    <w:rsid w:val="00224C7B"/>
    <w:rsid w:val="00244D84"/>
    <w:rsid w:val="00294961"/>
    <w:rsid w:val="00297B50"/>
    <w:rsid w:val="002A667B"/>
    <w:rsid w:val="002C11C5"/>
    <w:rsid w:val="002C7D5F"/>
    <w:rsid w:val="002F2407"/>
    <w:rsid w:val="00341104"/>
    <w:rsid w:val="00345330"/>
    <w:rsid w:val="00366EAD"/>
    <w:rsid w:val="00377A27"/>
    <w:rsid w:val="0039312C"/>
    <w:rsid w:val="003A2170"/>
    <w:rsid w:val="003B319C"/>
    <w:rsid w:val="003B61CC"/>
    <w:rsid w:val="003D46AC"/>
    <w:rsid w:val="003D6E8C"/>
    <w:rsid w:val="0041494A"/>
    <w:rsid w:val="0043036F"/>
    <w:rsid w:val="00445C22"/>
    <w:rsid w:val="0045155F"/>
    <w:rsid w:val="004635D4"/>
    <w:rsid w:val="00464106"/>
    <w:rsid w:val="0048092F"/>
    <w:rsid w:val="00490017"/>
    <w:rsid w:val="004910C6"/>
    <w:rsid w:val="004A253C"/>
    <w:rsid w:val="004A3CC4"/>
    <w:rsid w:val="004F4859"/>
    <w:rsid w:val="00506A00"/>
    <w:rsid w:val="005146B9"/>
    <w:rsid w:val="00546C66"/>
    <w:rsid w:val="005521CF"/>
    <w:rsid w:val="00560C3F"/>
    <w:rsid w:val="005725AA"/>
    <w:rsid w:val="005A2797"/>
    <w:rsid w:val="005C16D2"/>
    <w:rsid w:val="0060257E"/>
    <w:rsid w:val="006675FA"/>
    <w:rsid w:val="0067536B"/>
    <w:rsid w:val="00675648"/>
    <w:rsid w:val="006E571B"/>
    <w:rsid w:val="006F0DD8"/>
    <w:rsid w:val="00706B6D"/>
    <w:rsid w:val="00741A26"/>
    <w:rsid w:val="00753919"/>
    <w:rsid w:val="00754BA8"/>
    <w:rsid w:val="007567BE"/>
    <w:rsid w:val="00770213"/>
    <w:rsid w:val="00770D34"/>
    <w:rsid w:val="007840D2"/>
    <w:rsid w:val="00785F30"/>
    <w:rsid w:val="00787046"/>
    <w:rsid w:val="007B6924"/>
    <w:rsid w:val="007C0FA8"/>
    <w:rsid w:val="007C4B4B"/>
    <w:rsid w:val="007C6322"/>
    <w:rsid w:val="007D5712"/>
    <w:rsid w:val="007D7B81"/>
    <w:rsid w:val="007E1416"/>
    <w:rsid w:val="007F44A6"/>
    <w:rsid w:val="00825695"/>
    <w:rsid w:val="00826649"/>
    <w:rsid w:val="00834885"/>
    <w:rsid w:val="00857299"/>
    <w:rsid w:val="00886FD0"/>
    <w:rsid w:val="00891891"/>
    <w:rsid w:val="00895A25"/>
    <w:rsid w:val="008A3413"/>
    <w:rsid w:val="008C35E2"/>
    <w:rsid w:val="008D269F"/>
    <w:rsid w:val="008D5A27"/>
    <w:rsid w:val="008E7C66"/>
    <w:rsid w:val="00901212"/>
    <w:rsid w:val="009450E1"/>
    <w:rsid w:val="00960B8B"/>
    <w:rsid w:val="00961A77"/>
    <w:rsid w:val="00965996"/>
    <w:rsid w:val="00990181"/>
    <w:rsid w:val="0099395B"/>
    <w:rsid w:val="00995B01"/>
    <w:rsid w:val="009A27DF"/>
    <w:rsid w:val="009D4D0C"/>
    <w:rsid w:val="009E3DEB"/>
    <w:rsid w:val="00A10DF4"/>
    <w:rsid w:val="00A24803"/>
    <w:rsid w:val="00A33365"/>
    <w:rsid w:val="00A3790C"/>
    <w:rsid w:val="00A81A24"/>
    <w:rsid w:val="00A9445C"/>
    <w:rsid w:val="00A95D3A"/>
    <w:rsid w:val="00AA506F"/>
    <w:rsid w:val="00AB0EBC"/>
    <w:rsid w:val="00AB4E8E"/>
    <w:rsid w:val="00AD6E41"/>
    <w:rsid w:val="00B010E1"/>
    <w:rsid w:val="00B01E3B"/>
    <w:rsid w:val="00B0665F"/>
    <w:rsid w:val="00B3741A"/>
    <w:rsid w:val="00B56D76"/>
    <w:rsid w:val="00B601A7"/>
    <w:rsid w:val="00B81C5E"/>
    <w:rsid w:val="00BB3791"/>
    <w:rsid w:val="00BB4037"/>
    <w:rsid w:val="00BC744D"/>
    <w:rsid w:val="00BD368A"/>
    <w:rsid w:val="00C348E4"/>
    <w:rsid w:val="00C5604B"/>
    <w:rsid w:val="00C75BB2"/>
    <w:rsid w:val="00C807DD"/>
    <w:rsid w:val="00C84E3D"/>
    <w:rsid w:val="00C91122"/>
    <w:rsid w:val="00C93F2F"/>
    <w:rsid w:val="00CD5212"/>
    <w:rsid w:val="00CE2059"/>
    <w:rsid w:val="00CE4D8E"/>
    <w:rsid w:val="00D22090"/>
    <w:rsid w:val="00D279E0"/>
    <w:rsid w:val="00D55351"/>
    <w:rsid w:val="00D72866"/>
    <w:rsid w:val="00D742D0"/>
    <w:rsid w:val="00D7583B"/>
    <w:rsid w:val="00D776F7"/>
    <w:rsid w:val="00D7781A"/>
    <w:rsid w:val="00D84EEB"/>
    <w:rsid w:val="00D90AC6"/>
    <w:rsid w:val="00DB09A7"/>
    <w:rsid w:val="00DE62A0"/>
    <w:rsid w:val="00E109F1"/>
    <w:rsid w:val="00E2103B"/>
    <w:rsid w:val="00E73625"/>
    <w:rsid w:val="00E745E9"/>
    <w:rsid w:val="00E83C81"/>
    <w:rsid w:val="00ED1AD4"/>
    <w:rsid w:val="00EE61A9"/>
    <w:rsid w:val="00EE6E45"/>
    <w:rsid w:val="00F112FA"/>
    <w:rsid w:val="00F239B3"/>
    <w:rsid w:val="00F34472"/>
    <w:rsid w:val="00F67782"/>
    <w:rsid w:val="00F72D82"/>
    <w:rsid w:val="00F850AC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785F30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customStyle="1" w:styleId="cf01">
    <w:name w:val="cf01"/>
    <w:basedOn w:val="DefaultParagraphFont"/>
    <w:rsid w:val="00D742D0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pe-guide-for-non-aerosol-generating-procedures/guide-to-donning-putting-on-and-doffing-removing-ppe-non-agp-in-adult-social-care-settings-text-only-ver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693D5-070B-4549-80E0-41D2B2111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F0F48-5E8D-4A0D-A91E-358D4ACBF244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4.xml><?xml version="1.0" encoding="utf-8"?>
<ds:datastoreItem xmlns:ds="http://schemas.openxmlformats.org/officeDocument/2006/customXml" ds:itemID="{CF2E539A-34C5-4CEE-A9C6-BF422C92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2024-04-23T12:07:00Z</dcterms:created>
  <dcterms:modified xsi:type="dcterms:W3CDTF">2024-07-12T15:29:00Z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