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D6458" w14:textId="1D6D7DDF" w:rsidR="001B6656" w:rsidRDefault="0057276D">
      <w:pPr>
        <w:keepNext/>
        <w:keepLines/>
        <w:pBdr>
          <w:top w:val="nil"/>
          <w:left w:val="nil"/>
          <w:bottom w:val="nil"/>
          <w:right w:val="nil"/>
          <w:between w:val="nil"/>
        </w:pBdr>
        <w:shd w:val="clear" w:color="auto" w:fill="E2EEBE"/>
        <w:spacing w:before="240" w:after="200"/>
        <w:rPr>
          <w:b/>
          <w:color w:val="466318"/>
          <w:sz w:val="40"/>
          <w:szCs w:val="40"/>
        </w:rPr>
      </w:pPr>
      <w:r>
        <w:rPr>
          <w:b/>
          <w:color w:val="466318"/>
          <w:sz w:val="40"/>
          <w:szCs w:val="40"/>
        </w:rPr>
        <w:t>Teacher support: Reflux demo</w:t>
      </w:r>
      <w:r w:rsidR="00DA2218">
        <w:rPr>
          <w:b/>
          <w:color w:val="466318"/>
          <w:sz w:val="40"/>
          <w:szCs w:val="40"/>
        </w:rPr>
        <w:t>nstration</w:t>
      </w:r>
    </w:p>
    <w:p w14:paraId="544F521E" w14:textId="77777777" w:rsidR="001B6656" w:rsidRDefault="00000000">
      <w:r>
        <w:t xml:space="preserve">Follow the method to perform a demonstration to oxidise ethanol to ethanoic acid using a reflux. Discuss the theory of reflux and oxidation during the demonstration, use the teaching guide for support and for suggested discussion points. </w:t>
      </w:r>
    </w:p>
    <w:p w14:paraId="020E340D" w14:textId="77777777" w:rsidR="001B6656" w:rsidRDefault="00000000">
      <w:pPr>
        <w:rPr>
          <w:color w:val="000000"/>
        </w:rPr>
      </w:pPr>
      <w:r>
        <w:rPr>
          <w:color w:val="000000"/>
        </w:rPr>
        <w:t>There are several options for equipment and setup, depending on equipment availability or personal preference.</w:t>
      </w:r>
    </w:p>
    <w:p w14:paraId="75EF8074" w14:textId="793B058B" w:rsidR="001B6656" w:rsidRDefault="00000000">
      <w:pPr>
        <w:rPr>
          <w:color w:val="000000"/>
        </w:rPr>
      </w:pPr>
      <w:r>
        <w:rPr>
          <w:color w:val="000000"/>
        </w:rPr>
        <w:t>A magnetic stirrer bar and magnetic hotplate</w:t>
      </w:r>
      <w:r w:rsidR="007F0FEF">
        <w:rPr>
          <w:color w:val="000000"/>
        </w:rPr>
        <w:t xml:space="preserve"> stirrer</w:t>
      </w:r>
      <w:r>
        <w:rPr>
          <w:color w:val="000000"/>
        </w:rPr>
        <w:t>/heating mantle can be used to keep the reaction agitated. If they are not available, a heating mantle and anti-bumping granules can be used instead.</w:t>
      </w:r>
    </w:p>
    <w:p w14:paraId="001FE905" w14:textId="77777777" w:rsidR="001B6656" w:rsidRDefault="00000000">
      <w:pPr>
        <w:rPr>
          <w:color w:val="000000"/>
        </w:rPr>
      </w:pPr>
      <w:r>
        <w:rPr>
          <w:color w:val="000000"/>
        </w:rPr>
        <w:t xml:space="preserve">A lab jack provides a safe option for heat removal, without the need to touch hot equipment. However, if it isn’t available, a heating mantle can be placed on a heatproof mat on the desk. If this is used, the clamped flask and condenser will need to be lifted to allow cooling. </w:t>
      </w:r>
    </w:p>
    <w:p w14:paraId="633B0735" w14:textId="77777777" w:rsidR="001B6656" w:rsidRDefault="00000000">
      <w:pPr>
        <w:rPr>
          <w:color w:val="000000"/>
        </w:rPr>
      </w:pPr>
      <w:r>
        <w:rPr>
          <w:color w:val="000000"/>
        </w:rPr>
        <w:t>There is also the option to clamp the condenser, especially if a lab jack is used (as the condenser will not need to be moved once it is clamped). However, this can easily cause the join between the flask and condenser to shift and is not necessary if the round-bottom flask (RBF) is clamped well, and there is a good fit between the flask and the condenser.</w:t>
      </w:r>
    </w:p>
    <w:p w14:paraId="6A906467" w14:textId="77777777" w:rsidR="001B6656" w:rsidRDefault="00000000">
      <w:pPr>
        <w:rPr>
          <w:b/>
        </w:rPr>
      </w:pPr>
      <w:r>
        <w:rPr>
          <w:b/>
        </w:rPr>
        <w:t>Equipment:</w:t>
      </w:r>
    </w:p>
    <w:p w14:paraId="4068BE13" w14:textId="52B84E15" w:rsidR="001B6656" w:rsidRDefault="00000000">
      <w:pPr>
        <w:numPr>
          <w:ilvl w:val="0"/>
          <w:numId w:val="2"/>
        </w:numPr>
        <w:pBdr>
          <w:top w:val="nil"/>
          <w:left w:val="nil"/>
          <w:bottom w:val="nil"/>
          <w:right w:val="nil"/>
          <w:between w:val="nil"/>
        </w:pBdr>
        <w:spacing w:after="0"/>
      </w:pPr>
      <w:r>
        <w:t>50</w:t>
      </w:r>
      <w:r w:rsidR="00506232">
        <w:t xml:space="preserve"> </w:t>
      </w:r>
      <w:r>
        <w:t>cm</w:t>
      </w:r>
      <w:r>
        <w:rPr>
          <w:vertAlign w:val="superscript"/>
        </w:rPr>
        <w:t>3</w:t>
      </w:r>
      <w:r>
        <w:t xml:space="preserve"> round-bottom flask (or 50 cm</w:t>
      </w:r>
      <w:r>
        <w:rPr>
          <w:vertAlign w:val="superscript"/>
        </w:rPr>
        <w:t>3</w:t>
      </w:r>
      <w:r>
        <w:t xml:space="preserve"> pear-shaped flask)</w:t>
      </w:r>
    </w:p>
    <w:p w14:paraId="0D50C602" w14:textId="77777777" w:rsidR="001B6656" w:rsidRDefault="00000000">
      <w:pPr>
        <w:numPr>
          <w:ilvl w:val="0"/>
          <w:numId w:val="2"/>
        </w:numPr>
        <w:pBdr>
          <w:top w:val="nil"/>
          <w:left w:val="nil"/>
          <w:bottom w:val="nil"/>
          <w:right w:val="nil"/>
          <w:between w:val="nil"/>
        </w:pBdr>
        <w:spacing w:after="0"/>
      </w:pPr>
      <w:r>
        <w:t>Ice water bath</w:t>
      </w:r>
    </w:p>
    <w:p w14:paraId="6EC8EBCD" w14:textId="77777777" w:rsidR="001B6656" w:rsidRDefault="00000000">
      <w:pPr>
        <w:numPr>
          <w:ilvl w:val="0"/>
          <w:numId w:val="2"/>
        </w:numPr>
        <w:pBdr>
          <w:top w:val="nil"/>
          <w:left w:val="nil"/>
          <w:bottom w:val="nil"/>
          <w:right w:val="nil"/>
          <w:between w:val="nil"/>
        </w:pBdr>
        <w:spacing w:after="0"/>
      </w:pPr>
      <w:r>
        <w:t>Anti-bumping granules (if magnetic stirrer not used)</w:t>
      </w:r>
    </w:p>
    <w:p w14:paraId="2D0B16B4" w14:textId="7A275067" w:rsidR="001B6656" w:rsidRDefault="00000000">
      <w:pPr>
        <w:numPr>
          <w:ilvl w:val="0"/>
          <w:numId w:val="2"/>
        </w:numPr>
        <w:pBdr>
          <w:top w:val="nil"/>
          <w:left w:val="nil"/>
          <w:bottom w:val="nil"/>
          <w:right w:val="nil"/>
          <w:between w:val="nil"/>
        </w:pBdr>
        <w:spacing w:after="0"/>
      </w:pPr>
      <w:r>
        <w:t>H</w:t>
      </w:r>
      <w:r w:rsidR="007F0FEF">
        <w:t>otplate stirrer/h</w:t>
      </w:r>
      <w:r>
        <w:t>eating mantle</w:t>
      </w:r>
      <w:r w:rsidR="007F0FEF">
        <w:t>/</w:t>
      </w:r>
      <w:r>
        <w:t>hot water bath</w:t>
      </w:r>
    </w:p>
    <w:p w14:paraId="1D72BB5A" w14:textId="55C04957" w:rsidR="001B6656" w:rsidRDefault="00000000">
      <w:pPr>
        <w:numPr>
          <w:ilvl w:val="0"/>
          <w:numId w:val="2"/>
        </w:numPr>
        <w:pBdr>
          <w:top w:val="nil"/>
          <w:left w:val="nil"/>
          <w:bottom w:val="nil"/>
          <w:right w:val="nil"/>
          <w:between w:val="nil"/>
        </w:pBdr>
        <w:spacing w:after="0"/>
      </w:pPr>
      <w:r>
        <w:t>20</w:t>
      </w:r>
      <w:r w:rsidR="00D52025">
        <w:t xml:space="preserve"> </w:t>
      </w:r>
      <w:r>
        <w:t>cm</w:t>
      </w:r>
      <w:r>
        <w:rPr>
          <w:vertAlign w:val="superscript"/>
        </w:rPr>
        <w:t>3</w:t>
      </w:r>
      <w:r>
        <w:t xml:space="preserve"> graduated cylinder</w:t>
      </w:r>
    </w:p>
    <w:p w14:paraId="558A3BDE" w14:textId="77777777" w:rsidR="001B6656" w:rsidRDefault="00000000">
      <w:pPr>
        <w:numPr>
          <w:ilvl w:val="0"/>
          <w:numId w:val="2"/>
        </w:numPr>
        <w:pBdr>
          <w:top w:val="nil"/>
          <w:left w:val="nil"/>
          <w:bottom w:val="nil"/>
          <w:right w:val="nil"/>
          <w:between w:val="nil"/>
        </w:pBdr>
        <w:spacing w:after="0"/>
      </w:pPr>
      <w:r>
        <w:t>Ethanol</w:t>
      </w:r>
    </w:p>
    <w:p w14:paraId="33279B20" w14:textId="77777777" w:rsidR="001B6656" w:rsidRDefault="00000000">
      <w:pPr>
        <w:numPr>
          <w:ilvl w:val="0"/>
          <w:numId w:val="2"/>
        </w:numPr>
        <w:pBdr>
          <w:top w:val="nil"/>
          <w:left w:val="nil"/>
          <w:bottom w:val="nil"/>
          <w:right w:val="nil"/>
          <w:between w:val="nil"/>
        </w:pBdr>
        <w:spacing w:after="0"/>
      </w:pPr>
      <w:r>
        <w:t>Dropping pipette</w:t>
      </w:r>
    </w:p>
    <w:p w14:paraId="1176EE8C" w14:textId="77777777" w:rsidR="001B6656" w:rsidRDefault="00000000">
      <w:pPr>
        <w:numPr>
          <w:ilvl w:val="0"/>
          <w:numId w:val="2"/>
        </w:numPr>
        <w:pBdr>
          <w:top w:val="nil"/>
          <w:left w:val="nil"/>
          <w:bottom w:val="nil"/>
          <w:right w:val="nil"/>
          <w:between w:val="nil"/>
        </w:pBdr>
        <w:spacing w:after="0"/>
      </w:pPr>
      <w:r>
        <w:t>Lab jack</w:t>
      </w:r>
    </w:p>
    <w:p w14:paraId="1AAA351F" w14:textId="77777777" w:rsidR="001B6656" w:rsidRDefault="00000000">
      <w:pPr>
        <w:numPr>
          <w:ilvl w:val="0"/>
          <w:numId w:val="2"/>
        </w:numPr>
        <w:pBdr>
          <w:top w:val="nil"/>
          <w:left w:val="nil"/>
          <w:bottom w:val="nil"/>
          <w:right w:val="nil"/>
          <w:between w:val="nil"/>
        </w:pBdr>
        <w:spacing w:after="0"/>
      </w:pPr>
      <w:r>
        <w:t>(Liebig) condenser</w:t>
      </w:r>
    </w:p>
    <w:p w14:paraId="0EC4ABF3" w14:textId="77777777" w:rsidR="001B6656" w:rsidRDefault="00000000">
      <w:pPr>
        <w:numPr>
          <w:ilvl w:val="0"/>
          <w:numId w:val="2"/>
        </w:numPr>
        <w:pBdr>
          <w:top w:val="nil"/>
          <w:left w:val="nil"/>
          <w:bottom w:val="nil"/>
          <w:right w:val="nil"/>
          <w:between w:val="nil"/>
        </w:pBdr>
      </w:pPr>
      <w:r>
        <w:t>Acidified potassium dichromate (VI)</w:t>
      </w:r>
    </w:p>
    <w:p w14:paraId="2A0539E8" w14:textId="06B1C728" w:rsidR="001B6656" w:rsidRDefault="00000000">
      <w:pPr>
        <w:rPr>
          <w:b/>
        </w:rPr>
      </w:pPr>
      <w:r>
        <w:rPr>
          <w:b/>
        </w:rPr>
        <w:t xml:space="preserve">Safety </w:t>
      </w:r>
      <w:r w:rsidR="00506232">
        <w:rPr>
          <w:b/>
        </w:rPr>
        <w:t>f</w:t>
      </w:r>
      <w:r>
        <w:rPr>
          <w:b/>
        </w:rPr>
        <w:t>actors:</w:t>
      </w:r>
    </w:p>
    <w:p w14:paraId="09C7D33A" w14:textId="2297FAEA" w:rsidR="00DA2218" w:rsidRDefault="00DA2218">
      <w:pPr>
        <w:pBdr>
          <w:top w:val="nil"/>
          <w:left w:val="nil"/>
          <w:bottom w:val="nil"/>
          <w:right w:val="nil"/>
          <w:between w:val="nil"/>
        </w:pBdr>
        <w:spacing w:before="120" w:after="120"/>
        <w:rPr>
          <w:color w:val="000000"/>
        </w:rPr>
      </w:pPr>
      <w:r w:rsidRPr="00DA2218">
        <w:rPr>
          <w:color w:val="000000"/>
        </w:rPr>
        <w:t>Ensure risk assessments have been conducted and checked by an appropriate practitioner.</w:t>
      </w:r>
    </w:p>
    <w:p w14:paraId="258B4EB4" w14:textId="0C829CD8" w:rsidR="001B6656" w:rsidRDefault="00000000">
      <w:pPr>
        <w:pBdr>
          <w:top w:val="nil"/>
          <w:left w:val="nil"/>
          <w:bottom w:val="nil"/>
          <w:right w:val="nil"/>
          <w:between w:val="nil"/>
        </w:pBdr>
        <w:spacing w:before="120" w:after="120"/>
        <w:rPr>
          <w:color w:val="000000"/>
        </w:rPr>
      </w:pPr>
      <w:r>
        <w:rPr>
          <w:color w:val="000000"/>
        </w:rPr>
        <w:t>Acidified potassium dichromate is an oxidiser, toxic and a health hazard, HC078c</w:t>
      </w:r>
    </w:p>
    <w:p w14:paraId="6C570590" w14:textId="77777777" w:rsidR="001B6656" w:rsidRDefault="00000000">
      <w:pPr>
        <w:pBdr>
          <w:top w:val="nil"/>
          <w:left w:val="nil"/>
          <w:bottom w:val="nil"/>
          <w:right w:val="nil"/>
          <w:between w:val="nil"/>
        </w:pBdr>
        <w:spacing w:before="120" w:after="120"/>
        <w:rPr>
          <w:color w:val="000000"/>
        </w:rPr>
      </w:pPr>
      <w:r>
        <w:rPr>
          <w:color w:val="000000"/>
        </w:rPr>
        <w:t>Ethanol is flammable, an irritant and toxic, HC040A</w:t>
      </w:r>
    </w:p>
    <w:p w14:paraId="7B701500" w14:textId="69301FCC" w:rsidR="001B6656" w:rsidRDefault="00000000">
      <w:pPr>
        <w:rPr>
          <w:color w:val="000000"/>
        </w:rPr>
      </w:pPr>
      <w:r>
        <w:rPr>
          <w:color w:val="000000"/>
        </w:rPr>
        <w:t>Ethanoic acid &gt; 1.7 M is an irritant, HC038a</w:t>
      </w:r>
    </w:p>
    <w:p w14:paraId="78B2BF78" w14:textId="77777777" w:rsidR="00DA2218" w:rsidRDefault="00DA2218">
      <w:pPr>
        <w:rPr>
          <w:b/>
        </w:rPr>
      </w:pPr>
      <w:r>
        <w:rPr>
          <w:b/>
        </w:rPr>
        <w:br w:type="page"/>
      </w:r>
    </w:p>
    <w:p w14:paraId="15E2AD92" w14:textId="3B81AC10" w:rsidR="001B6656" w:rsidRDefault="00000000">
      <w:pPr>
        <w:rPr>
          <w:b/>
        </w:rPr>
      </w:pPr>
      <w:r>
        <w:rPr>
          <w:b/>
        </w:rPr>
        <w:lastRenderedPageBreak/>
        <w:t>Method:</w:t>
      </w:r>
    </w:p>
    <w:p w14:paraId="3429643A" w14:textId="4CCA67C5" w:rsidR="001B6656" w:rsidRDefault="00000000">
      <w:pPr>
        <w:numPr>
          <w:ilvl w:val="0"/>
          <w:numId w:val="1"/>
        </w:numPr>
        <w:pBdr>
          <w:top w:val="nil"/>
          <w:left w:val="nil"/>
          <w:bottom w:val="nil"/>
          <w:right w:val="nil"/>
          <w:between w:val="nil"/>
        </w:pBdr>
        <w:spacing w:after="0" w:line="276" w:lineRule="auto"/>
      </w:pPr>
      <w:r>
        <w:t>Place 20</w:t>
      </w:r>
      <w:r w:rsidR="00D52025">
        <w:t xml:space="preserve"> </w:t>
      </w:r>
      <w:r>
        <w:t>cm</w:t>
      </w:r>
      <w:r>
        <w:rPr>
          <w:vertAlign w:val="superscript"/>
        </w:rPr>
        <w:t>3</w:t>
      </w:r>
      <w:r>
        <w:t xml:space="preserve"> of acidified potassium dichromate solution in a reaction flask (pear-shaped if using a water bath to heat or round-bottom flask (RBF) if using a heating mantle) and cool it in an ice-water bath for at least five minutes. </w:t>
      </w:r>
      <w:r>
        <w:rPr>
          <w:color w:val="000000"/>
        </w:rPr>
        <w:t>It is important the acidified potassium dichromate is cold before the addition of ethanol, as the addition of ethanol is an exothermic reaction (it gives off heat), and cooling it helps to reduce the rate of the reaction. It keeps the top temperature low and reduces the risk whilst the flammable ethanol is being added.</w:t>
      </w:r>
    </w:p>
    <w:p w14:paraId="32F6C2AA" w14:textId="597A0F94" w:rsidR="001B6656" w:rsidRDefault="00000000">
      <w:pPr>
        <w:numPr>
          <w:ilvl w:val="0"/>
          <w:numId w:val="1"/>
        </w:numPr>
        <w:pBdr>
          <w:top w:val="nil"/>
          <w:left w:val="nil"/>
          <w:bottom w:val="nil"/>
          <w:right w:val="nil"/>
          <w:between w:val="nil"/>
        </w:pBdr>
        <w:spacing w:after="0" w:line="276" w:lineRule="auto"/>
      </w:pPr>
      <w:r>
        <w:t xml:space="preserve">Set up the reflux equipment as shown in the diagram. </w:t>
      </w:r>
    </w:p>
    <w:p w14:paraId="3F96B313" w14:textId="116B3918" w:rsidR="001B6656" w:rsidRDefault="00000000">
      <w:pPr>
        <w:pBdr>
          <w:top w:val="nil"/>
          <w:left w:val="nil"/>
          <w:bottom w:val="nil"/>
          <w:right w:val="nil"/>
          <w:between w:val="nil"/>
        </w:pBdr>
        <w:spacing w:after="0" w:line="276" w:lineRule="auto"/>
        <w:ind w:left="720"/>
      </w:pPr>
      <w:r>
        <w:rPr>
          <w:noProof/>
        </w:rPr>
        <w:drawing>
          <wp:inline distT="0" distB="0" distL="0" distR="0" wp14:anchorId="4EF46929" wp14:editId="11732DA1">
            <wp:extent cx="5009731" cy="454317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9376" t="4073" r="7003" b="2864"/>
                    <a:stretch>
                      <a:fillRect/>
                    </a:stretch>
                  </pic:blipFill>
                  <pic:spPr>
                    <a:xfrm>
                      <a:off x="0" y="0"/>
                      <a:ext cx="5009731" cy="4543177"/>
                    </a:xfrm>
                    <a:prstGeom prst="rect">
                      <a:avLst/>
                    </a:prstGeom>
                    <a:ln/>
                  </pic:spPr>
                </pic:pic>
              </a:graphicData>
            </a:graphic>
          </wp:inline>
        </w:drawing>
      </w:r>
    </w:p>
    <w:p w14:paraId="1360A60A" w14:textId="77777777" w:rsidR="001B6656" w:rsidRDefault="00000000">
      <w:pPr>
        <w:numPr>
          <w:ilvl w:val="0"/>
          <w:numId w:val="1"/>
        </w:numPr>
        <w:pBdr>
          <w:top w:val="nil"/>
          <w:left w:val="nil"/>
          <w:bottom w:val="nil"/>
          <w:right w:val="nil"/>
          <w:between w:val="nil"/>
        </w:pBdr>
        <w:spacing w:after="0" w:line="276" w:lineRule="auto"/>
      </w:pPr>
      <w:r>
        <w:t>Place some anti-bumping granules in the reaction flask.</w:t>
      </w:r>
    </w:p>
    <w:p w14:paraId="7DCE81B4" w14:textId="0BFBD041" w:rsidR="001B6656" w:rsidRDefault="00000000">
      <w:pPr>
        <w:numPr>
          <w:ilvl w:val="0"/>
          <w:numId w:val="1"/>
        </w:numPr>
        <w:pBdr>
          <w:top w:val="nil"/>
          <w:left w:val="nil"/>
          <w:bottom w:val="nil"/>
          <w:right w:val="nil"/>
          <w:between w:val="nil"/>
        </w:pBdr>
        <w:spacing w:after="0" w:line="276" w:lineRule="auto"/>
      </w:pPr>
      <w:r>
        <w:t>Add 1</w:t>
      </w:r>
      <w:r w:rsidR="00D52025">
        <w:t xml:space="preserve"> </w:t>
      </w:r>
      <w:r>
        <w:t>cm</w:t>
      </w:r>
      <w:r>
        <w:rPr>
          <w:vertAlign w:val="superscript"/>
        </w:rPr>
        <w:t>3</w:t>
      </w:r>
      <w:r>
        <w:t xml:space="preserve"> ethanol dropwise to the reaction flask down the reflux condenser. </w:t>
      </w:r>
      <w:r>
        <w:br/>
        <w:t>Ensure the reaction has subsided in between additions.</w:t>
      </w:r>
    </w:p>
    <w:p w14:paraId="7652DFCE" w14:textId="77777777" w:rsidR="001B6656" w:rsidRDefault="00000000">
      <w:pPr>
        <w:numPr>
          <w:ilvl w:val="0"/>
          <w:numId w:val="1"/>
        </w:numPr>
        <w:pBdr>
          <w:top w:val="nil"/>
          <w:left w:val="nil"/>
          <w:bottom w:val="nil"/>
          <w:right w:val="nil"/>
          <w:between w:val="nil"/>
        </w:pBdr>
        <w:spacing w:after="0" w:line="276" w:lineRule="auto"/>
      </w:pPr>
      <w:r>
        <w:t>Allow the flask to warm to room temperature.</w:t>
      </w:r>
    </w:p>
    <w:p w14:paraId="6460E722" w14:textId="77777777" w:rsidR="001B6656" w:rsidRDefault="00000000">
      <w:pPr>
        <w:numPr>
          <w:ilvl w:val="0"/>
          <w:numId w:val="1"/>
        </w:numPr>
        <w:pBdr>
          <w:top w:val="nil"/>
          <w:left w:val="nil"/>
          <w:bottom w:val="nil"/>
          <w:right w:val="nil"/>
          <w:between w:val="nil"/>
        </w:pBdr>
        <w:spacing w:after="0" w:line="276" w:lineRule="auto"/>
      </w:pPr>
      <w:r>
        <w:t>Heat the reaction flask to boiling temperature and hold it on boil for twenty minutes. Adjust the flow rate on the condenser as necessary to ensure a regular, fast drip rate.</w:t>
      </w:r>
    </w:p>
    <w:p w14:paraId="748FE295" w14:textId="77777777" w:rsidR="001B6656" w:rsidRDefault="00000000">
      <w:pPr>
        <w:numPr>
          <w:ilvl w:val="0"/>
          <w:numId w:val="1"/>
        </w:numPr>
        <w:pBdr>
          <w:top w:val="nil"/>
          <w:left w:val="nil"/>
          <w:bottom w:val="nil"/>
          <w:right w:val="nil"/>
          <w:between w:val="nil"/>
        </w:pBdr>
        <w:spacing w:after="0" w:line="276" w:lineRule="auto"/>
      </w:pPr>
      <w:r>
        <w:t>(OPTIONAL: Distil the product off and run a boiling point analysis to prove the production of ethanoic acid.)</w:t>
      </w:r>
    </w:p>
    <w:sectPr w:rsidR="001B6656">
      <w:headerReference w:type="even" r:id="rId8"/>
      <w:headerReference w:type="default" r:id="rId9"/>
      <w:footerReference w:type="even" r:id="rId10"/>
      <w:footerReference w:type="default" r:id="rId11"/>
      <w:headerReference w:type="first" r:id="rId12"/>
      <w:footerReference w:type="first" r:id="rId13"/>
      <w:pgSz w:w="11906" w:h="16838"/>
      <w:pgMar w:top="1440" w:right="170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16CC5" w14:textId="77777777" w:rsidR="001737FD" w:rsidRDefault="001737FD">
      <w:pPr>
        <w:spacing w:after="0" w:line="240" w:lineRule="auto"/>
      </w:pPr>
      <w:r>
        <w:separator/>
      </w:r>
    </w:p>
  </w:endnote>
  <w:endnote w:type="continuationSeparator" w:id="0">
    <w:p w14:paraId="7C0A6BCA" w14:textId="77777777" w:rsidR="001737FD" w:rsidRDefault="00173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315EC94-121F-41F3-AE13-DEDFB99D03D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65CADC5-86FD-4A48-94A7-0D3B0722E52E}"/>
  </w:font>
  <w:font w:name="Cambria">
    <w:panose1 w:val="02040503050406030204"/>
    <w:charset w:val="00"/>
    <w:family w:val="roman"/>
    <w:pitch w:val="variable"/>
    <w:sig w:usb0="E00006FF" w:usb1="420024FF" w:usb2="02000000" w:usb3="00000000" w:csb0="0000019F" w:csb1="00000000"/>
    <w:embedRegular r:id="rId3" w:fontKey="{A63AD0D8-6523-4E28-B154-081529F043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8076" w14:textId="77777777" w:rsidR="001B6656" w:rsidRDefault="001B6656">
    <w:pPr>
      <w:widowControl w:val="0"/>
      <w:pBdr>
        <w:top w:val="nil"/>
        <w:left w:val="nil"/>
        <w:bottom w:val="nil"/>
        <w:right w:val="nil"/>
        <w:between w:val="nil"/>
      </w:pBdr>
      <w:spacing w:after="0" w:line="276" w:lineRule="auto"/>
    </w:pPr>
  </w:p>
  <w:tbl>
    <w:tblPr>
      <w:tblStyle w:val="a1"/>
      <w:tblW w:w="8959"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459"/>
      <w:gridCol w:w="2500"/>
    </w:tblGrid>
    <w:tr w:rsidR="001B6656" w14:paraId="05C7936F" w14:textId="77777777">
      <w:tc>
        <w:tcPr>
          <w:tcW w:w="6459" w:type="dxa"/>
        </w:tcPr>
        <w:p w14:paraId="1C2A2FAC" w14:textId="77777777" w:rsidR="001B6656"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00" w:type="dxa"/>
        </w:tcPr>
        <w:p w14:paraId="1973AD2F" w14:textId="77777777" w:rsidR="001B6656"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546FB502" w14:textId="77777777" w:rsidR="001B6656" w:rsidRDefault="001B6656">
    <w:pPr>
      <w:pBdr>
        <w:top w:val="nil"/>
        <w:left w:val="nil"/>
        <w:bottom w:val="nil"/>
        <w:right w:val="nil"/>
        <w:between w:val="nil"/>
      </w:pBdr>
      <w:tabs>
        <w:tab w:val="center" w:pos="4513"/>
        <w:tab w:val="right" w:pos="9026"/>
      </w:tabs>
      <w:spacing w:after="0" w:line="240" w:lineRule="auto"/>
      <w:jc w:val="right"/>
      <w:rPr>
        <w:sz w:val="20"/>
        <w:szCs w:val="20"/>
      </w:rPr>
    </w:pPr>
  </w:p>
  <w:p w14:paraId="5C7FE398" w14:textId="77777777" w:rsidR="001B6656"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2"/>
      <w:tblW w:w="8959"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12"/>
      <w:gridCol w:w="3747"/>
    </w:tblGrid>
    <w:tr w:rsidR="001B6656" w14:paraId="0E3F1C86" w14:textId="77777777">
      <w:tc>
        <w:tcPr>
          <w:tcW w:w="8959" w:type="dxa"/>
          <w:gridSpan w:val="2"/>
          <w:tcBorders>
            <w:bottom w:val="nil"/>
          </w:tcBorders>
        </w:tcPr>
        <w:p w14:paraId="0B4C6EB0" w14:textId="77777777" w:rsidR="001B6656" w:rsidRDefault="001B6656">
          <w:pPr>
            <w:pBdr>
              <w:top w:val="nil"/>
              <w:left w:val="nil"/>
              <w:bottom w:val="nil"/>
              <w:right w:val="nil"/>
              <w:between w:val="nil"/>
            </w:pBdr>
            <w:tabs>
              <w:tab w:val="center" w:pos="4513"/>
              <w:tab w:val="right" w:pos="9026"/>
            </w:tabs>
            <w:spacing w:after="120"/>
            <w:rPr>
              <w:sz w:val="18"/>
              <w:szCs w:val="18"/>
            </w:rPr>
          </w:pPr>
        </w:p>
      </w:tc>
    </w:tr>
    <w:tr w:rsidR="001B6656" w14:paraId="0B0B2B69" w14:textId="77777777">
      <w:tc>
        <w:tcPr>
          <w:tcW w:w="5212" w:type="dxa"/>
          <w:tcBorders>
            <w:top w:val="nil"/>
            <w:bottom w:val="single" w:sz="12" w:space="0" w:color="E2EEBE"/>
          </w:tcBorders>
        </w:tcPr>
        <w:p w14:paraId="2635F834" w14:textId="77777777" w:rsidR="001B6656" w:rsidRDefault="00000000">
          <w:pPr>
            <w:pBdr>
              <w:top w:val="nil"/>
              <w:left w:val="nil"/>
              <w:bottom w:val="nil"/>
              <w:right w:val="nil"/>
              <w:between w:val="nil"/>
            </w:pBdr>
            <w:tabs>
              <w:tab w:val="center" w:pos="4513"/>
              <w:tab w:val="right" w:pos="9026"/>
            </w:tabs>
            <w:spacing w:after="120"/>
            <w:rPr>
              <w:sz w:val="20"/>
              <w:szCs w:val="20"/>
            </w:rPr>
          </w:pPr>
          <w:r>
            <w:rPr>
              <w:sz w:val="20"/>
              <w:szCs w:val="20"/>
            </w:rPr>
            <w:t>Health &amp; Science: Refluxing (Science)</w:t>
          </w:r>
        </w:p>
        <w:p w14:paraId="7F7FAD37" w14:textId="1B4D4868" w:rsidR="001B6656"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EA3D52">
            <w:rPr>
              <w:sz w:val="20"/>
              <w:szCs w:val="20"/>
            </w:rPr>
            <w:t>March</w:t>
          </w:r>
          <w:r>
            <w:rPr>
              <w:sz w:val="20"/>
              <w:szCs w:val="20"/>
            </w:rPr>
            <w:t xml:space="preserve"> 2025</w:t>
          </w:r>
        </w:p>
      </w:tc>
      <w:tc>
        <w:tcPr>
          <w:tcW w:w="3747" w:type="dxa"/>
          <w:tcBorders>
            <w:top w:val="nil"/>
            <w:bottom w:val="single" w:sz="12" w:space="0" w:color="E2EEBE"/>
          </w:tcBorders>
          <w:vAlign w:val="bottom"/>
        </w:tcPr>
        <w:p w14:paraId="60251E60" w14:textId="77777777" w:rsidR="001B6656" w:rsidRDefault="00000000">
          <w:pPr>
            <w:pBdr>
              <w:top w:val="nil"/>
              <w:left w:val="nil"/>
              <w:bottom w:val="nil"/>
              <w:right w:val="nil"/>
              <w:between w:val="nil"/>
            </w:pBdr>
            <w:tabs>
              <w:tab w:val="center" w:pos="4513"/>
              <w:tab w:val="right" w:pos="9026"/>
            </w:tabs>
            <w:spacing w:after="120"/>
            <w:ind w:hanging="76"/>
            <w:jc w:val="right"/>
            <w:rPr>
              <w:sz w:val="20"/>
              <w:szCs w:val="20"/>
            </w:rPr>
          </w:pPr>
          <w:r>
            <w:rPr>
              <w:sz w:val="18"/>
              <w:szCs w:val="18"/>
            </w:rPr>
            <w:t>© Gatsby Technical Education Projects 2025</w:t>
          </w:r>
        </w:p>
      </w:tc>
    </w:tr>
  </w:tbl>
  <w:p w14:paraId="468D0927" w14:textId="77777777" w:rsidR="001B6656" w:rsidRDefault="001B6656">
    <w:pPr>
      <w:pBdr>
        <w:top w:val="nil"/>
        <w:left w:val="nil"/>
        <w:bottom w:val="nil"/>
        <w:right w:val="nil"/>
        <w:between w:val="nil"/>
      </w:pBdr>
      <w:tabs>
        <w:tab w:val="center" w:pos="4513"/>
        <w:tab w:val="right" w:pos="9026"/>
      </w:tabs>
      <w:spacing w:after="0" w:line="240" w:lineRule="auto"/>
      <w:jc w:val="right"/>
      <w:rPr>
        <w:sz w:val="20"/>
        <w:szCs w:val="20"/>
      </w:rPr>
    </w:pPr>
  </w:p>
  <w:p w14:paraId="2BA4E4E0" w14:textId="77777777" w:rsidR="001B6656"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E690D">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B0DFA" w14:textId="77777777" w:rsidR="001B6656" w:rsidRDefault="001B6656">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A52D9" w14:textId="77777777" w:rsidR="001737FD" w:rsidRDefault="001737FD">
      <w:pPr>
        <w:spacing w:after="0" w:line="240" w:lineRule="auto"/>
      </w:pPr>
      <w:r>
        <w:separator/>
      </w:r>
    </w:p>
  </w:footnote>
  <w:footnote w:type="continuationSeparator" w:id="0">
    <w:p w14:paraId="711786C0" w14:textId="77777777" w:rsidR="001737FD" w:rsidRDefault="00173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E9BF6" w14:textId="77777777" w:rsidR="001B6656" w:rsidRDefault="001B6656">
    <w:pPr>
      <w:widowControl w:val="0"/>
      <w:pBdr>
        <w:top w:val="nil"/>
        <w:left w:val="nil"/>
        <w:bottom w:val="nil"/>
        <w:right w:val="nil"/>
        <w:between w:val="nil"/>
      </w:pBdr>
      <w:spacing w:after="0" w:line="276" w:lineRule="auto"/>
    </w:pPr>
  </w:p>
  <w:tbl>
    <w:tblPr>
      <w:tblStyle w:val="a"/>
      <w:tblW w:w="8959"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38"/>
      <w:gridCol w:w="7321"/>
    </w:tblGrid>
    <w:tr w:rsidR="001B6656" w14:paraId="05F738DF" w14:textId="77777777">
      <w:tc>
        <w:tcPr>
          <w:tcW w:w="1638" w:type="dxa"/>
          <w:tcBorders>
            <w:bottom w:val="single" w:sz="4" w:space="0" w:color="E2EEBE"/>
          </w:tcBorders>
        </w:tcPr>
        <w:p w14:paraId="0821F6C6" w14:textId="77777777" w:rsidR="001B6656" w:rsidRDefault="001B6656">
          <w:pPr>
            <w:pBdr>
              <w:top w:val="nil"/>
              <w:left w:val="nil"/>
              <w:bottom w:val="nil"/>
              <w:right w:val="nil"/>
              <w:between w:val="nil"/>
            </w:pBdr>
            <w:tabs>
              <w:tab w:val="center" w:pos="4513"/>
              <w:tab w:val="right" w:pos="9026"/>
            </w:tabs>
            <w:spacing w:after="120"/>
            <w:rPr>
              <w:sz w:val="20"/>
              <w:szCs w:val="20"/>
            </w:rPr>
          </w:pPr>
        </w:p>
      </w:tc>
      <w:tc>
        <w:tcPr>
          <w:tcW w:w="7321" w:type="dxa"/>
          <w:tcBorders>
            <w:bottom w:val="single" w:sz="4" w:space="0" w:color="E2EEBE"/>
          </w:tcBorders>
        </w:tcPr>
        <w:p w14:paraId="1A04CB92" w14:textId="77777777" w:rsidR="001B665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45025803" w14:textId="77777777" w:rsidR="001B665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784D64F3" w14:textId="77777777" w:rsidR="001B6656"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3ED37E7E" wp14:editId="52A87FD0">
          <wp:simplePos x="0" y="0"/>
          <wp:positionH relativeFrom="column">
            <wp:posOffset>3</wp:posOffset>
          </wp:positionH>
          <wp:positionV relativeFrom="paragraph">
            <wp:posOffset>-601341</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7139B" w14:textId="77777777" w:rsidR="001B6656" w:rsidRDefault="001B6656">
    <w:pPr>
      <w:widowControl w:val="0"/>
      <w:pBdr>
        <w:top w:val="nil"/>
        <w:left w:val="nil"/>
        <w:bottom w:val="nil"/>
        <w:right w:val="nil"/>
        <w:between w:val="nil"/>
      </w:pBdr>
      <w:spacing w:after="0" w:line="276" w:lineRule="auto"/>
      <w:rPr>
        <w:sz w:val="20"/>
        <w:szCs w:val="20"/>
      </w:rPr>
    </w:pPr>
  </w:p>
  <w:tbl>
    <w:tblPr>
      <w:tblStyle w:val="a0"/>
      <w:tblW w:w="8959"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53"/>
      <w:gridCol w:w="6706"/>
    </w:tblGrid>
    <w:tr w:rsidR="001B6656" w14:paraId="05A28650" w14:textId="77777777">
      <w:tc>
        <w:tcPr>
          <w:tcW w:w="2253" w:type="dxa"/>
          <w:tcBorders>
            <w:bottom w:val="single" w:sz="4" w:space="0" w:color="E2EEBE"/>
          </w:tcBorders>
        </w:tcPr>
        <w:p w14:paraId="3587E498" w14:textId="77777777" w:rsidR="001B6656" w:rsidRDefault="001B6656">
          <w:pPr>
            <w:pBdr>
              <w:top w:val="nil"/>
              <w:left w:val="nil"/>
              <w:bottom w:val="nil"/>
              <w:right w:val="nil"/>
              <w:between w:val="nil"/>
            </w:pBdr>
            <w:tabs>
              <w:tab w:val="center" w:pos="4513"/>
              <w:tab w:val="right" w:pos="9026"/>
            </w:tabs>
            <w:spacing w:after="120"/>
            <w:rPr>
              <w:sz w:val="20"/>
              <w:szCs w:val="20"/>
            </w:rPr>
          </w:pPr>
          <w:bookmarkStart w:id="0" w:name="_30j0zll" w:colFirst="0" w:colLast="0"/>
          <w:bookmarkEnd w:id="0"/>
        </w:p>
      </w:tc>
      <w:tc>
        <w:tcPr>
          <w:tcW w:w="6706" w:type="dxa"/>
          <w:tcBorders>
            <w:bottom w:val="single" w:sz="4" w:space="0" w:color="E2EEBE"/>
          </w:tcBorders>
        </w:tcPr>
        <w:p w14:paraId="39597968" w14:textId="77777777" w:rsidR="001B6656"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Reflux and oxidation</w:t>
          </w:r>
        </w:p>
        <w:p w14:paraId="38934A9F" w14:textId="0F0AF717" w:rsidR="004E1A5F" w:rsidRDefault="004E1A5F" w:rsidP="004E1A5F">
          <w:pPr>
            <w:pBdr>
              <w:top w:val="nil"/>
              <w:left w:val="nil"/>
              <w:bottom w:val="nil"/>
              <w:right w:val="nil"/>
              <w:between w:val="nil"/>
            </w:pBdr>
            <w:tabs>
              <w:tab w:val="center" w:pos="4513"/>
              <w:tab w:val="right" w:pos="9026"/>
            </w:tabs>
            <w:spacing w:after="120"/>
            <w:jc w:val="right"/>
            <w:rPr>
              <w:sz w:val="20"/>
              <w:szCs w:val="20"/>
            </w:rPr>
          </w:pPr>
          <w:r>
            <w:rPr>
              <w:sz w:val="20"/>
              <w:szCs w:val="20"/>
            </w:rPr>
            <w:t>Teacher support</w:t>
          </w:r>
        </w:p>
      </w:tc>
    </w:tr>
  </w:tbl>
  <w:p w14:paraId="470768A7" w14:textId="77777777" w:rsidR="001B6656"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253C38D0" wp14:editId="125C4CC5">
          <wp:simplePos x="0" y="0"/>
          <wp:positionH relativeFrom="column">
            <wp:posOffset>19053</wp:posOffset>
          </wp:positionH>
          <wp:positionV relativeFrom="paragraph">
            <wp:posOffset>-619757</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4DDE7" w14:textId="77777777" w:rsidR="001B6656" w:rsidRDefault="001B6656">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491638"/>
    <w:multiLevelType w:val="multilevel"/>
    <w:tmpl w:val="3F700A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1" w15:restartNumberingAfterBreak="0">
    <w:nsid w:val="75935C95"/>
    <w:multiLevelType w:val="multilevel"/>
    <w:tmpl w:val="163C7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5879439">
    <w:abstractNumId w:val="0"/>
  </w:num>
  <w:num w:numId="2" w16cid:durableId="2022663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656"/>
    <w:rsid w:val="000E2743"/>
    <w:rsid w:val="001737FD"/>
    <w:rsid w:val="001B6656"/>
    <w:rsid w:val="002B2D4F"/>
    <w:rsid w:val="003937EA"/>
    <w:rsid w:val="004002B3"/>
    <w:rsid w:val="004E1A5F"/>
    <w:rsid w:val="00506232"/>
    <w:rsid w:val="0057276D"/>
    <w:rsid w:val="006E690D"/>
    <w:rsid w:val="007B02D1"/>
    <w:rsid w:val="007F0FEF"/>
    <w:rsid w:val="008228DB"/>
    <w:rsid w:val="008E0709"/>
    <w:rsid w:val="0090008F"/>
    <w:rsid w:val="009940F3"/>
    <w:rsid w:val="009B0E76"/>
    <w:rsid w:val="00A30EFF"/>
    <w:rsid w:val="00B647D5"/>
    <w:rsid w:val="00CB7F1E"/>
    <w:rsid w:val="00D52025"/>
    <w:rsid w:val="00D90620"/>
    <w:rsid w:val="00DA2218"/>
    <w:rsid w:val="00E40A86"/>
    <w:rsid w:val="00E53902"/>
    <w:rsid w:val="00EA3D52"/>
    <w:rsid w:val="00EC36FF"/>
    <w:rsid w:val="00ED6092"/>
    <w:rsid w:val="00F27C82"/>
    <w:rsid w:val="00FC3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81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565587-50DF-4CDE-914E-568C7010C4D0}"/>
</file>

<file path=customXml/itemProps2.xml><?xml version="1.0" encoding="utf-8"?>
<ds:datastoreItem xmlns:ds="http://schemas.openxmlformats.org/officeDocument/2006/customXml" ds:itemID="{FE77B13F-70C6-4194-A354-E9B3CBE402AE}"/>
</file>

<file path=customXml/itemProps3.xml><?xml version="1.0" encoding="utf-8"?>
<ds:datastoreItem xmlns:ds="http://schemas.openxmlformats.org/officeDocument/2006/customXml" ds:itemID="{B9C86D6B-15CE-480F-A4CC-B9389C58BE3D}"/>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2507</Characters>
  <Application>Microsoft Office Word</Application>
  <DocSecurity>0</DocSecurity>
  <Lines>20</Lines>
  <Paragraphs>5</Paragraphs>
  <ScaleCrop>false</ScaleCrop>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2025-04-01T17:29:00Z</dcterms:created>
  <dcterms:modified xsi:type="dcterms:W3CDTF">2025-04-01T17:29:00Z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